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82" w:rsidRDefault="00343182" w:rsidP="008F24E4">
      <w:pPr>
        <w:pStyle w:val="NAPHTitle"/>
        <w:bidi w:val="0"/>
        <w:rPr>
          <w:i/>
          <w:iCs/>
        </w:rPr>
      </w:pPr>
      <w:r w:rsidRPr="00383772">
        <w:t>R</w:t>
      </w:r>
      <w:r>
        <w:t xml:space="preserve">elative </w:t>
      </w:r>
      <w:r w:rsidR="008F24E4">
        <w:t>C</w:t>
      </w:r>
      <w:r>
        <w:t>lauses in Hebrew Translation of Maimonides’</w:t>
      </w:r>
      <w:r w:rsidRPr="00383772">
        <w:t xml:space="preserve"> </w:t>
      </w:r>
      <w:r w:rsidRPr="00383772">
        <w:rPr>
          <w:i/>
          <w:iCs/>
        </w:rPr>
        <w:t>Treatise on Asthma</w:t>
      </w:r>
    </w:p>
    <w:p w:rsidR="008F24E4" w:rsidRPr="008F24E4" w:rsidRDefault="008F24E4" w:rsidP="008F24E4">
      <w:pPr>
        <w:pStyle w:val="NAPHText"/>
        <w:bidi w:val="0"/>
      </w:pPr>
    </w:p>
    <w:p w:rsidR="00343182" w:rsidRDefault="00343182" w:rsidP="008F24E4">
      <w:pPr>
        <w:pStyle w:val="NAPHAuthor"/>
        <w:bidi w:val="0"/>
      </w:pPr>
      <w:r w:rsidRPr="00383772">
        <w:t xml:space="preserve">Adel </w:t>
      </w:r>
      <w:proofErr w:type="spellStart"/>
      <w:r w:rsidRPr="00383772">
        <w:t>Shakour</w:t>
      </w:r>
      <w:proofErr w:type="spellEnd"/>
    </w:p>
    <w:p w:rsidR="00343182" w:rsidRPr="00383772" w:rsidRDefault="00EE720E" w:rsidP="008F24E4">
      <w:pPr>
        <w:pStyle w:val="NAPHInstitution"/>
        <w:bidi w:val="0"/>
      </w:pPr>
      <w:r>
        <w:t>Al-</w:t>
      </w:r>
      <w:proofErr w:type="spellStart"/>
      <w:r>
        <w:t>Qasemi</w:t>
      </w:r>
      <w:proofErr w:type="spellEnd"/>
      <w:r>
        <w:t>—</w:t>
      </w:r>
      <w:r w:rsidRPr="00F65ECA">
        <w:t>Academic College of Education</w:t>
      </w:r>
    </w:p>
    <w:p w:rsidR="00343182" w:rsidRPr="00383772" w:rsidRDefault="00343182" w:rsidP="008F24E4">
      <w:pPr>
        <w:pStyle w:val="NAPHText"/>
        <w:bidi w:val="0"/>
      </w:pPr>
    </w:p>
    <w:p w:rsidR="00343182" w:rsidRDefault="00343182" w:rsidP="008F24E4">
      <w:pPr>
        <w:pStyle w:val="NAPHQuote"/>
        <w:bidi w:val="0"/>
        <w:rPr>
          <w:rtl/>
        </w:rPr>
      </w:pPr>
      <w:r>
        <w:t xml:space="preserve">The article examines the influence of Classical Arabic on </w:t>
      </w:r>
      <w:r w:rsidR="008F24E4">
        <w:t xml:space="preserve">the </w:t>
      </w:r>
      <w:r>
        <w:t xml:space="preserve">syntax </w:t>
      </w:r>
      <w:r w:rsidRPr="00954613">
        <w:t>of re</w:t>
      </w:r>
      <w:r>
        <w:t xml:space="preserve">lative clauses in </w:t>
      </w:r>
      <w:proofErr w:type="spellStart"/>
      <w:r>
        <w:t>Shemuel</w:t>
      </w:r>
      <w:proofErr w:type="spellEnd"/>
      <w:r>
        <w:t xml:space="preserve"> </w:t>
      </w:r>
      <w:proofErr w:type="spellStart"/>
      <w:r>
        <w:t>Benvenishti’s</w:t>
      </w:r>
      <w:proofErr w:type="spellEnd"/>
      <w:r>
        <w:t xml:space="preserve"> Hebrew translation of Maimonides’ medical tractate. On the basis of contrastive analysis and translation theories,</w:t>
      </w:r>
      <w:r w:rsidRPr="00954613">
        <w:t xml:space="preserve"> </w:t>
      </w:r>
      <w:r>
        <w:t xml:space="preserve">the article also analyzes the guiding principles of the translation in question in order to shed light on the translator’s approach and his reasons for rendering relative </w:t>
      </w:r>
      <w:r w:rsidRPr="00954613">
        <w:t>clauses one way or another.</w:t>
      </w:r>
    </w:p>
    <w:p w:rsidR="00343182" w:rsidRDefault="00343182" w:rsidP="008F24E4">
      <w:pPr>
        <w:pStyle w:val="NAPHText"/>
        <w:bidi w:val="0"/>
        <w:rPr>
          <w:rtl/>
        </w:rPr>
      </w:pPr>
    </w:p>
    <w:p w:rsidR="00343182" w:rsidRPr="00C91D85" w:rsidRDefault="00343182" w:rsidP="008F24E4">
      <w:pPr>
        <w:pStyle w:val="1"/>
        <w:bidi w:val="0"/>
      </w:pPr>
      <w:r>
        <w:t>1. Introduction</w:t>
      </w:r>
    </w:p>
    <w:p w:rsidR="00343182" w:rsidRPr="008F24E4" w:rsidRDefault="00343182" w:rsidP="008F24E4">
      <w:pPr>
        <w:pStyle w:val="NAPHText"/>
        <w:bidi w:val="0"/>
        <w:rPr>
          <w:b/>
          <w:bCs/>
        </w:rPr>
      </w:pPr>
      <w:r w:rsidRPr="008F24E4">
        <w:rPr>
          <w:i/>
          <w:iCs/>
        </w:rPr>
        <w:t>Treatise on Asthma</w:t>
      </w:r>
      <w:bookmarkStart w:id="0" w:name="_ftnref1"/>
      <w:bookmarkEnd w:id="0"/>
      <w:r w:rsidRPr="008F24E4">
        <w:t xml:space="preserve"> (subtitled </w:t>
      </w:r>
      <w:r w:rsidRPr="008F24E4">
        <w:rPr>
          <w:i/>
          <w:iCs/>
        </w:rPr>
        <w:t>The Book of Nourishment</w:t>
      </w:r>
      <w:r w:rsidRPr="008F24E4">
        <w:t>)</w:t>
      </w:r>
      <w:r w:rsidRPr="008F24E4">
        <w:rPr>
          <w:lang w:bidi="ar-SA"/>
        </w:rPr>
        <w:t xml:space="preserve"> </w:t>
      </w:r>
      <w:r w:rsidRPr="008F24E4">
        <w:t xml:space="preserve">was written by Maimonides in Arabic and translated into Hebrew by the physician </w:t>
      </w:r>
      <w:proofErr w:type="spellStart"/>
      <w:r w:rsidRPr="008F24E4">
        <w:t>Shemuel</w:t>
      </w:r>
      <w:proofErr w:type="spellEnd"/>
      <w:r w:rsidRPr="008F24E4">
        <w:t xml:space="preserve"> </w:t>
      </w:r>
      <w:proofErr w:type="spellStart"/>
      <w:r w:rsidRPr="008F24E4">
        <w:t>Benvenishti</w:t>
      </w:r>
      <w:proofErr w:type="spellEnd"/>
      <w:r w:rsidRPr="008F24E4">
        <w:t xml:space="preserve"> in 1173.</w:t>
      </w:r>
      <w:r w:rsidRPr="008F24E4">
        <w:rPr>
          <w:rStyle w:val="a9"/>
        </w:rPr>
        <w:footnoteReference w:id="1"/>
      </w:r>
      <w:bookmarkStart w:id="1" w:name="_ftnref2"/>
      <w:bookmarkEnd w:id="1"/>
      <w:r w:rsidRPr="008F24E4">
        <w:t xml:space="preserve"> This translation was one of the many close encounters between Hebrew and Arabic that took place over centuries.</w:t>
      </w:r>
      <w:r w:rsidR="008F24E4">
        <w:t xml:space="preserve"> </w:t>
      </w:r>
      <w:r w:rsidR="00B46DE3">
        <w:t>The situation</w:t>
      </w:r>
      <w:r w:rsidRPr="008F24E4">
        <w:t xml:space="preserve"> in which two linguistic systems meet</w:t>
      </w:r>
      <w:r w:rsidR="00B46DE3">
        <w:t xml:space="preserve"> and to some extent intermingle</w:t>
      </w:r>
      <w:r w:rsidRPr="008F24E4">
        <w:t xml:space="preserve"> results in their categories influencing each other.</w:t>
      </w:r>
      <w:r w:rsidRPr="008F24E4">
        <w:rPr>
          <w:rStyle w:val="a9"/>
        </w:rPr>
        <w:footnoteReference w:id="2"/>
      </w:r>
      <w:r w:rsidRPr="008F24E4">
        <w:t xml:space="preserve"> According to </w:t>
      </w:r>
      <w:proofErr w:type="spellStart"/>
      <w:r w:rsidRPr="008F24E4">
        <w:t>Weinreich</w:t>
      </w:r>
      <w:proofErr w:type="spellEnd"/>
      <w:r w:rsidRPr="008F24E4">
        <w:t>, vocabulary, phonetics, and syntax of the languages that are in contact tend to merge.</w:t>
      </w:r>
      <w:r w:rsidRPr="008F24E4">
        <w:rPr>
          <w:rStyle w:val="a9"/>
        </w:rPr>
        <w:footnoteReference w:id="3"/>
      </w:r>
      <w:r w:rsidRPr="008F24E4">
        <w:t xml:space="preserve"> This usually occurs when a bilingual speaker utilizes words from the lending language in the host language or equates a phoneme of the secondary system with one in the primary system, namely the mother tongue</w:t>
      </w:r>
      <w:r w:rsidR="008F24E4">
        <w:t>.</w:t>
      </w:r>
      <w:r w:rsidRPr="008F24E4">
        <w:rPr>
          <w:rStyle w:val="a9"/>
        </w:rPr>
        <w:footnoteReference w:id="4"/>
      </w:r>
      <w:hyperlink r:id="rId9" w:anchor="_ftn6" w:history="1"/>
    </w:p>
    <w:p w:rsidR="00343182" w:rsidRDefault="00343182" w:rsidP="00AD264B">
      <w:pPr>
        <w:pStyle w:val="NAPHText"/>
        <w:bidi w:val="0"/>
      </w:pPr>
      <w:r w:rsidRPr="007D0EF9">
        <w:t xml:space="preserve">As </w:t>
      </w:r>
      <w:r>
        <w:t xml:space="preserve">a </w:t>
      </w:r>
      <w:r w:rsidRPr="007D0EF9">
        <w:t>part of human culture, literature is an important vehicle for transfer</w:t>
      </w:r>
      <w:r w:rsidR="00564723">
        <w:softHyphen/>
      </w:r>
      <w:r w:rsidRPr="007D0EF9">
        <w:t>ring concepts and terms regardless of whether direct contact exists between the cultures.</w:t>
      </w:r>
      <w:r w:rsidR="00AD264B">
        <w:t xml:space="preserve"> </w:t>
      </w:r>
      <w:r>
        <w:t>It is also a major channel through which languages affect each other</w:t>
      </w:r>
      <w:r w:rsidRPr="007D0EF9">
        <w:t>, in particular when literary works are translated</w:t>
      </w:r>
      <w:r>
        <w:t xml:space="preserve"> following a cultural encounter</w:t>
      </w:r>
      <w:r w:rsidRPr="007D0EF9">
        <w:t xml:space="preserve"> between nations and individuals.</w:t>
      </w:r>
      <w:r>
        <w:t xml:space="preserve"> In such cases, translation often </w:t>
      </w:r>
      <w:r>
        <w:lastRenderedPageBreak/>
        <w:t xml:space="preserve">involves linguistic interpretation, mirroring the </w:t>
      </w:r>
      <w:r w:rsidRPr="006945D6">
        <w:t>repertoir</w:t>
      </w:r>
      <w:r>
        <w:t xml:space="preserve">e, rules, and norms of </w:t>
      </w:r>
      <w:r w:rsidRPr="006945D6">
        <w:t>one language (</w:t>
      </w:r>
      <w:r>
        <w:t xml:space="preserve">in our case, Arabic) in another one (Hebrew). </w:t>
      </w:r>
    </w:p>
    <w:p w:rsidR="00343182" w:rsidRDefault="00343182" w:rsidP="00AD264B">
      <w:pPr>
        <w:pStyle w:val="NAPHText"/>
        <w:bidi w:val="0"/>
      </w:pPr>
      <w:proofErr w:type="spellStart"/>
      <w:r w:rsidRPr="00AD264B">
        <w:t>Toury</w:t>
      </w:r>
      <w:proofErr w:type="spellEnd"/>
      <w:r w:rsidRPr="00AD264B">
        <w:t xml:space="preserve"> maintains that all translations involve interpretation, even if it is limited; in other words, texts cannot be translated from one language to another without being interpreted.</w:t>
      </w:r>
      <w:r w:rsidRPr="00AD264B">
        <w:rPr>
          <w:rStyle w:val="a9"/>
        </w:rPr>
        <w:footnoteReference w:id="5"/>
      </w:r>
      <w:r w:rsidRPr="00AD264B">
        <w:t xml:space="preserve"> He also formulated several pertinent rules:</w:t>
      </w:r>
    </w:p>
    <w:p w:rsidR="00AD264B" w:rsidRPr="00AD264B" w:rsidRDefault="00AD264B" w:rsidP="00B97E07">
      <w:pPr>
        <w:pStyle w:val="NAPHText"/>
        <w:bidi w:val="0"/>
        <w:spacing w:line="200" w:lineRule="exact"/>
      </w:pPr>
    </w:p>
    <w:p w:rsidR="00343182" w:rsidRPr="00193C10" w:rsidRDefault="00343182" w:rsidP="00AD264B">
      <w:pPr>
        <w:pStyle w:val="NAPHText"/>
        <w:numPr>
          <w:ilvl w:val="0"/>
          <w:numId w:val="2"/>
        </w:numPr>
        <w:bidi w:val="0"/>
        <w:ind w:left="720"/>
        <w:rPr>
          <w:rtl/>
        </w:rPr>
      </w:pPr>
      <w:r>
        <w:t>A</w:t>
      </w:r>
      <w:r w:rsidRPr="00193C10">
        <w:t>void</w:t>
      </w:r>
      <w:r>
        <w:t>ing interpretation requires special conditions and/</w:t>
      </w:r>
      <w:r w:rsidRPr="00193C10">
        <w:t>or considerable effor</w:t>
      </w:r>
      <w:r>
        <w:t>t by the translator</w:t>
      </w:r>
      <w:r w:rsidRPr="00193C10">
        <w:t>.</w:t>
      </w:r>
    </w:p>
    <w:p w:rsidR="00343182" w:rsidRPr="00193C10" w:rsidRDefault="00343182" w:rsidP="00AD264B">
      <w:pPr>
        <w:pStyle w:val="NAPHText"/>
        <w:numPr>
          <w:ilvl w:val="0"/>
          <w:numId w:val="2"/>
        </w:numPr>
        <w:bidi w:val="0"/>
        <w:ind w:left="720"/>
        <w:rPr>
          <w:rtl/>
        </w:rPr>
      </w:pPr>
      <w:r w:rsidRPr="00193C10">
        <w:t>Two kinds of interpretation exist: negative</w:t>
      </w:r>
      <w:r w:rsidRPr="00193C10">
        <w:rPr>
          <w:b/>
          <w:bCs/>
        </w:rPr>
        <w:t xml:space="preserve"> </w:t>
      </w:r>
      <w:r w:rsidRPr="00193C10">
        <w:t>transfer,</w:t>
      </w:r>
      <w:r>
        <w:rPr>
          <w:b/>
          <w:bCs/>
        </w:rPr>
        <w:t xml:space="preserve"> </w:t>
      </w:r>
      <w:r>
        <w:t xml:space="preserve">with the influence of the source language leading to </w:t>
      </w:r>
      <w:r w:rsidRPr="00193C10">
        <w:t>dev</w:t>
      </w:r>
      <w:r>
        <w:t>iations from the rules and patterns</w:t>
      </w:r>
      <w:r w:rsidRPr="00193C10">
        <w:t xml:space="preserve"> of t</w:t>
      </w:r>
      <w:r>
        <w:t>he target system</w:t>
      </w:r>
      <w:r w:rsidRPr="00193C10">
        <w:t>, and positive</w:t>
      </w:r>
      <w:r w:rsidRPr="00193C10">
        <w:rPr>
          <w:b/>
          <w:bCs/>
        </w:rPr>
        <w:t xml:space="preserve"> </w:t>
      </w:r>
      <w:r>
        <w:t>transfer, where the employed linguis</w:t>
      </w:r>
      <w:r w:rsidR="00564723">
        <w:softHyphen/>
      </w:r>
      <w:r>
        <w:t xml:space="preserve">tic </w:t>
      </w:r>
      <w:r w:rsidRPr="00193C10">
        <w:t>forms and structures</w:t>
      </w:r>
      <w:r>
        <w:t xml:space="preserve"> </w:t>
      </w:r>
      <w:r w:rsidRPr="00193C10">
        <w:t xml:space="preserve">exist </w:t>
      </w:r>
      <w:r>
        <w:t>anyway in the target language</w:t>
      </w:r>
      <w:r w:rsidRPr="00193C10">
        <w:t xml:space="preserve"> but are influenced by the source language.</w:t>
      </w:r>
    </w:p>
    <w:p w:rsidR="00343182" w:rsidRPr="00193C10" w:rsidRDefault="00343182" w:rsidP="00F575BF">
      <w:pPr>
        <w:pStyle w:val="NAPHText"/>
        <w:numPr>
          <w:ilvl w:val="0"/>
          <w:numId w:val="2"/>
        </w:numPr>
        <w:bidi w:val="0"/>
        <w:ind w:left="720"/>
        <w:rPr>
          <w:rtl/>
        </w:rPr>
      </w:pPr>
      <w:r w:rsidRPr="00193C10">
        <w:t>Interpretatio</w:t>
      </w:r>
      <w:r>
        <w:t>n is affected by the cognitive processes that take place dur</w:t>
      </w:r>
      <w:r w:rsidR="00564723">
        <w:softHyphen/>
      </w:r>
      <w:r>
        <w:t xml:space="preserve">ing the act of translation, accompanied by </w:t>
      </w:r>
      <w:r w:rsidRPr="00193C10">
        <w:t xml:space="preserve">what </w:t>
      </w:r>
      <w:proofErr w:type="spellStart"/>
      <w:r w:rsidRPr="00193C10">
        <w:t>To</w:t>
      </w:r>
      <w:r>
        <w:t>u</w:t>
      </w:r>
      <w:r w:rsidRPr="00193C10">
        <w:t>ry</w:t>
      </w:r>
      <w:proofErr w:type="spellEnd"/>
      <w:r w:rsidRPr="00193C10">
        <w:t xml:space="preserve"> calls </w:t>
      </w:r>
      <w:r w:rsidR="00AD264B">
        <w:t>“</w:t>
      </w:r>
      <w:r w:rsidRPr="00193C10">
        <w:t>discourse tra</w:t>
      </w:r>
      <w:r>
        <w:t xml:space="preserve">nsfer” whereby </w:t>
      </w:r>
      <w:r w:rsidRPr="00193C10">
        <w:t>the original text imposes itself on the translator</w:t>
      </w:r>
      <w:r>
        <w:t>.</w:t>
      </w:r>
    </w:p>
    <w:p w:rsidR="00343182" w:rsidRPr="00193C10" w:rsidRDefault="00343182" w:rsidP="00AD264B">
      <w:pPr>
        <w:pStyle w:val="NAPHText"/>
        <w:numPr>
          <w:ilvl w:val="0"/>
          <w:numId w:val="2"/>
        </w:numPr>
        <w:bidi w:val="0"/>
        <w:ind w:left="720"/>
        <w:rPr>
          <w:rtl/>
        </w:rPr>
      </w:pPr>
      <w:r>
        <w:t>The greater</w:t>
      </w:r>
      <w:r w:rsidRPr="00193C10">
        <w:t xml:space="preserve"> the translator</w:t>
      </w:r>
      <w:r>
        <w:t xml:space="preserve">’s attention </w:t>
      </w:r>
      <w:r w:rsidRPr="00193C10">
        <w:t>to t</w:t>
      </w:r>
      <w:r>
        <w:t>he character of the source text</w:t>
      </w:r>
      <w:r w:rsidRPr="00193C10">
        <w:t xml:space="preserve"> th</w:t>
      </w:r>
      <w:r>
        <w:t>e more interpretive the translation turn</w:t>
      </w:r>
      <w:r w:rsidR="00AD264B">
        <w:t>s</w:t>
      </w:r>
      <w:r>
        <w:t xml:space="preserve"> out, except when it is per</w:t>
      </w:r>
      <w:r w:rsidR="00564723">
        <w:softHyphen/>
      </w:r>
      <w:r>
        <w:t>formed by a highly skilled individual</w:t>
      </w:r>
      <w:r w:rsidRPr="00193C10">
        <w:t>.</w:t>
      </w:r>
    </w:p>
    <w:p w:rsidR="00343182" w:rsidRDefault="00343182" w:rsidP="00AD264B">
      <w:pPr>
        <w:pStyle w:val="NAPHText"/>
        <w:numPr>
          <w:ilvl w:val="0"/>
          <w:numId w:val="2"/>
        </w:numPr>
        <w:bidi w:val="0"/>
        <w:ind w:left="720"/>
      </w:pPr>
      <w:r>
        <w:t xml:space="preserve">Sociocultural factors can affect </w:t>
      </w:r>
      <w:r w:rsidRPr="00193C10">
        <w:t>tolerance for interpre</w:t>
      </w:r>
      <w:r>
        <w:t xml:space="preserve">tation. It is more tolerable when the text is translated </w:t>
      </w:r>
      <w:r w:rsidRPr="00193C10">
        <w:t>from a high</w:t>
      </w:r>
      <w:r>
        <w:t>ly prestigious language or the “majority” tongue</w:t>
      </w:r>
      <w:r w:rsidR="00AD264B">
        <w:t>—</w:t>
      </w:r>
      <w:r w:rsidRPr="00193C10">
        <w:t>esp</w:t>
      </w:r>
      <w:r>
        <w:t xml:space="preserve">ecially when the target culture/language is </w:t>
      </w:r>
      <w:r w:rsidR="00AD264B">
        <w:t>“</w:t>
      </w:r>
      <w:r>
        <w:t>weak</w:t>
      </w:r>
      <w:r w:rsidR="00AD264B">
        <w:t>”</w:t>
      </w:r>
      <w:r>
        <w:t xml:space="preserve"> or belongs to a </w:t>
      </w:r>
      <w:r w:rsidR="00AD264B">
        <w:t>“</w:t>
      </w:r>
      <w:r w:rsidRPr="00193C10">
        <w:t>minority.</w:t>
      </w:r>
      <w:r w:rsidR="00AD264B">
        <w:t xml:space="preserve">” </w:t>
      </w:r>
      <w:r w:rsidRPr="00193C10">
        <w:t>Tolerance for interpretation is not necessarily the same across all the textual and linguistic levels within the target system.</w:t>
      </w:r>
      <w:r>
        <w:rPr>
          <w:rStyle w:val="a9"/>
          <w:rFonts w:ascii="Gentium" w:hAnsi="Gentium"/>
        </w:rPr>
        <w:footnoteReference w:id="6"/>
      </w:r>
    </w:p>
    <w:p w:rsidR="00AD264B" w:rsidRDefault="00AD264B" w:rsidP="00B97E07">
      <w:pPr>
        <w:pStyle w:val="NAPHText"/>
        <w:bidi w:val="0"/>
        <w:spacing w:line="240" w:lineRule="exact"/>
      </w:pPr>
    </w:p>
    <w:p w:rsidR="00343182" w:rsidRDefault="00343182" w:rsidP="00B46DE3">
      <w:pPr>
        <w:pStyle w:val="NAPHText"/>
        <w:bidi w:val="0"/>
      </w:pPr>
      <w:proofErr w:type="spellStart"/>
      <w:r w:rsidRPr="0078413B">
        <w:t>Shemuel</w:t>
      </w:r>
      <w:proofErr w:type="spellEnd"/>
      <w:r w:rsidRPr="0078413B">
        <w:t xml:space="preserve"> </w:t>
      </w:r>
      <w:proofErr w:type="spellStart"/>
      <w:r w:rsidRPr="0078413B">
        <w:t>Benvenishti</w:t>
      </w:r>
      <w:proofErr w:type="spellEnd"/>
      <w:r w:rsidRPr="0078413B">
        <w:t xml:space="preserve"> </w:t>
      </w:r>
      <w:r>
        <w:t>likely</w:t>
      </w:r>
      <w:r w:rsidRPr="0078413B">
        <w:t xml:space="preserve"> considered himself not just a translator of a medical text from Arabic to Hebrew, but also a mediator between the Arab and Jewish cultures.</w:t>
      </w:r>
      <w:r w:rsidR="00AD264B">
        <w:t xml:space="preserve"> </w:t>
      </w:r>
      <w:r w:rsidRPr="0078413B">
        <w:t>The</w:t>
      </w:r>
      <w:r>
        <w:t>refore, his</w:t>
      </w:r>
      <w:r w:rsidRPr="0078413B">
        <w:t xml:space="preserve"> strategy of using the same relative clauses as those employed in the original Arabic, rather than alternative linguistic structures, could be a voluntary and conscious choice, designed </w:t>
      </w:r>
      <w:r>
        <w:t>to reflect the realities</w:t>
      </w:r>
      <w:r w:rsidRPr="0078413B">
        <w:t xml:space="preserve"> and flavor</w:t>
      </w:r>
      <w:r>
        <w:t>s</w:t>
      </w:r>
      <w:r w:rsidRPr="0078413B">
        <w:t xml:space="preserve"> of the culture of origin.</w:t>
      </w:r>
      <w:r w:rsidRPr="007D0EF9">
        <w:rPr>
          <w:rStyle w:val="a9"/>
          <w:rFonts w:ascii="Gentium" w:hAnsi="Gentium"/>
        </w:rPr>
        <w:footnoteReference w:id="7"/>
      </w:r>
      <w:r w:rsidRPr="0078413B">
        <w:t xml:space="preserve"> The present article </w:t>
      </w:r>
      <w:r w:rsidRPr="0078413B">
        <w:lastRenderedPageBreak/>
        <w:t>provides examples from classical Hebrew, namely from the Bible and rabbinic</w:t>
      </w:r>
      <w:r>
        <w:t xml:space="preserve"> writ</w:t>
      </w:r>
      <w:r w:rsidR="00564723">
        <w:softHyphen/>
      </w:r>
      <w:r>
        <w:t xml:space="preserve">ings, to show that while many of the Hebrew syntactical patterns he employed </w:t>
      </w:r>
      <w:r w:rsidRPr="0078413B">
        <w:t>have</w:t>
      </w:r>
      <w:r w:rsidRPr="0078413B">
        <w:rPr>
          <w:rFonts w:cs="SBL Hebrew"/>
        </w:rPr>
        <w:t xml:space="preserve"> </w:t>
      </w:r>
      <w:r>
        <w:t>precedent in earlier strata of the language</w:t>
      </w:r>
      <w:r w:rsidR="00E91AA2">
        <w:t>,</w:t>
      </w:r>
      <w:r>
        <w:t xml:space="preserve"> he chose these patter</w:t>
      </w:r>
      <w:r w:rsidR="00B46DE3">
        <w:t>n</w:t>
      </w:r>
      <w:r>
        <w:t>s</w:t>
      </w:r>
      <w:r w:rsidRPr="0078413B">
        <w:t xml:space="preserve"> be</w:t>
      </w:r>
      <w:r w:rsidR="00B46DE3">
        <w:softHyphen/>
      </w:r>
      <w:r w:rsidRPr="0078413B">
        <w:t>cause they are identical to those in Arabic.</w:t>
      </w:r>
      <w:r>
        <w:t xml:space="preserve"> What is more, at least one of these patterns is attested only in Arabicized </w:t>
      </w:r>
      <w:r w:rsidR="00B46DE3">
        <w:t>M</w:t>
      </w:r>
      <w:r>
        <w:t>edieval Hebrew.</w:t>
      </w:r>
      <w:r w:rsidRPr="0078413B">
        <w:t xml:space="preserve"> </w:t>
      </w:r>
    </w:p>
    <w:p w:rsidR="00343182" w:rsidRDefault="00343182" w:rsidP="00E91AA2">
      <w:pPr>
        <w:pStyle w:val="1"/>
        <w:bidi w:val="0"/>
      </w:pPr>
      <w:r>
        <w:t xml:space="preserve">2. Arabic Influences on </w:t>
      </w:r>
      <w:r w:rsidRPr="00D14F8A">
        <w:t>Syntactic Structures of Re</w:t>
      </w:r>
      <w:r>
        <w:t>lative Clauses</w:t>
      </w:r>
    </w:p>
    <w:p w:rsidR="00E91AA2" w:rsidRPr="00E91AA2" w:rsidRDefault="00E91AA2" w:rsidP="00E91AA2">
      <w:pPr>
        <w:pStyle w:val="NAPHText"/>
        <w:bidi w:val="0"/>
      </w:pPr>
    </w:p>
    <w:p w:rsidR="00343182" w:rsidRPr="00B933AF" w:rsidRDefault="00343182" w:rsidP="00B933AF">
      <w:pPr>
        <w:pStyle w:val="NAPHText"/>
        <w:bidi w:val="0"/>
      </w:pPr>
      <w:r w:rsidRPr="00B933AF">
        <w:t>According to traditional grammar, a relative clause is one that modifies a noun nucleus (a noun, a noun phrase, or a pronoun) and is dependent on this nucleus in form and/or syntax. In general, the dependent element is subordi</w:t>
      </w:r>
      <w:r w:rsidR="002E5DAA">
        <w:softHyphen/>
      </w:r>
      <w:r w:rsidRPr="00B933AF">
        <w:t>nate to the main element.</w:t>
      </w:r>
      <w:r w:rsidRPr="00B933AF">
        <w:rPr>
          <w:rStyle w:val="a9"/>
        </w:rPr>
        <w:footnoteReference w:id="8"/>
      </w:r>
      <w:r w:rsidRPr="00B933AF">
        <w:t xml:space="preserve"> The clause which accompanies the </w:t>
      </w:r>
      <w:r w:rsidRPr="00B933AF">
        <w:rPr>
          <w:lang w:val="en-GB"/>
        </w:rPr>
        <w:t xml:space="preserve">nucleus </w:t>
      </w:r>
      <w:r w:rsidRPr="00B933AF">
        <w:t xml:space="preserve">is known as the modifying clause. The nucleus plus the modifying phrase is called a complex noun phrase. The nucleus of the complex noun phrase is also called the antecedent and the conjunctions, such </w:t>
      </w:r>
      <w:proofErr w:type="gramStart"/>
      <w:r w:rsidRPr="00B933AF">
        <w:t>as</w:t>
      </w:r>
      <w:r w:rsidRPr="00B933AF">
        <w:rPr>
          <w:rFonts w:ascii="SBL Hebrew" w:hAnsi="SBL Hebrew" w:cs="SBL Hebrew"/>
          <w:rtl/>
        </w:rPr>
        <w:t>ש</w:t>
      </w:r>
      <w:r w:rsidRPr="00B933AF">
        <w:rPr>
          <w:rtl/>
        </w:rPr>
        <w:t xml:space="preserve"> </w:t>
      </w:r>
      <w:r w:rsidRPr="00B933AF">
        <w:t>,</w:t>
      </w:r>
      <w:proofErr w:type="gramEnd"/>
      <w:r w:rsidRPr="00B933AF">
        <w:t xml:space="preserve"> </w:t>
      </w:r>
      <w:r w:rsidRPr="00B933AF">
        <w:rPr>
          <w:rFonts w:ascii="SBL Hebrew" w:hAnsi="SBL Hebrew" w:cs="SBL Hebrew"/>
          <w:rtl/>
        </w:rPr>
        <w:t>אשר</w:t>
      </w:r>
      <w:r w:rsidRPr="00B933AF">
        <w:rPr>
          <w:i/>
          <w:iCs/>
        </w:rPr>
        <w:t>,</w:t>
      </w:r>
      <w:r w:rsidRPr="00B933AF">
        <w:t xml:space="preserve"> and</w:t>
      </w:r>
      <w:r w:rsidRPr="00B933AF">
        <w:rPr>
          <w:i/>
          <w:iCs/>
        </w:rPr>
        <w:t xml:space="preserve"> </w:t>
      </w:r>
      <w:r w:rsidRPr="00B933AF">
        <w:rPr>
          <w:rFonts w:ascii="SBL Hebrew" w:hAnsi="SBL Hebrew" w:cs="SBL Hebrew"/>
          <w:rtl/>
        </w:rPr>
        <w:t>ה</w:t>
      </w:r>
      <w:r w:rsidRPr="00B933AF">
        <w:t>, are known as relative pronouns.</w:t>
      </w:r>
      <w:r w:rsidRPr="00B933AF">
        <w:rPr>
          <w:rStyle w:val="a9"/>
        </w:rPr>
        <w:footnoteReference w:id="9"/>
      </w:r>
    </w:p>
    <w:p w:rsidR="00343182" w:rsidRPr="00B933AF" w:rsidRDefault="00343182" w:rsidP="00B933AF">
      <w:pPr>
        <w:pStyle w:val="NAPHText"/>
        <w:bidi w:val="0"/>
      </w:pPr>
      <w:r w:rsidRPr="00B933AF">
        <w:t>There are two types of relative clause in Classical Arabic: the syndetic relative clause (</w:t>
      </w:r>
      <w:proofErr w:type="spellStart"/>
      <w:r w:rsidRPr="00B933AF">
        <w:rPr>
          <w:i/>
          <w:iCs/>
        </w:rPr>
        <w:t>tsilah</w:t>
      </w:r>
      <w:proofErr w:type="spellEnd"/>
      <w:r w:rsidRPr="00B933AF">
        <w:t xml:space="preserve">) with a noun as the antecedent and the </w:t>
      </w:r>
      <w:proofErr w:type="spellStart"/>
      <w:r w:rsidRPr="00B933AF">
        <w:t>asyndetic</w:t>
      </w:r>
      <w:proofErr w:type="spellEnd"/>
      <w:r w:rsidRPr="00B933AF">
        <w:t xml:space="preserve"> relative clause (</w:t>
      </w:r>
      <w:proofErr w:type="spellStart"/>
      <w:r w:rsidRPr="00B933AF">
        <w:rPr>
          <w:i/>
          <w:iCs/>
        </w:rPr>
        <w:t>tsifah</w:t>
      </w:r>
      <w:proofErr w:type="spellEnd"/>
      <w:r w:rsidRPr="00B933AF">
        <w:t>) where there is no definite antecedent.</w:t>
      </w:r>
      <w:r w:rsidRPr="00B933AF">
        <w:rPr>
          <w:rStyle w:val="a9"/>
        </w:rPr>
        <w:footnoteReference w:id="10"/>
      </w:r>
      <w:r w:rsidRPr="00B933AF">
        <w:t xml:space="preserve"> In a </w:t>
      </w:r>
      <w:proofErr w:type="spellStart"/>
      <w:r w:rsidRPr="00B933AF">
        <w:rPr>
          <w:i/>
          <w:iCs/>
        </w:rPr>
        <w:t>tsilah</w:t>
      </w:r>
      <w:proofErr w:type="spellEnd"/>
      <w:r w:rsidRPr="00B933AF">
        <w:t xml:space="preserve"> clause, the antecedent is linked to the relative clause by a relative pronoun while in a </w:t>
      </w:r>
      <w:proofErr w:type="spellStart"/>
      <w:r w:rsidRPr="00B933AF">
        <w:rPr>
          <w:i/>
          <w:iCs/>
        </w:rPr>
        <w:t>tsifah</w:t>
      </w:r>
      <w:proofErr w:type="spellEnd"/>
      <w:r w:rsidRPr="00B933AF">
        <w:t xml:space="preserve"> clause, the antecedent is connected to the relative clause without a relative pronoun.</w:t>
      </w:r>
    </w:p>
    <w:p w:rsidR="00343182" w:rsidRPr="00D14F8A" w:rsidRDefault="00343182" w:rsidP="00B933AF">
      <w:pPr>
        <w:pStyle w:val="NAPHText"/>
        <w:bidi w:val="0"/>
      </w:pPr>
    </w:p>
    <w:p w:rsidR="00343182" w:rsidRDefault="00343182" w:rsidP="00B933AF">
      <w:pPr>
        <w:pStyle w:val="2"/>
        <w:bidi w:val="0"/>
        <w:rPr>
          <w:lang w:val="en-GB"/>
        </w:rPr>
      </w:pPr>
      <w:r w:rsidRPr="00D14F8A">
        <w:t>2.</w:t>
      </w:r>
      <w:r>
        <w:t>1. Syndetic Relative Clauses F</w:t>
      </w:r>
      <w:r w:rsidRPr="00D14F8A">
        <w:t xml:space="preserve">ollowing a </w:t>
      </w:r>
      <w:r>
        <w:rPr>
          <w:lang w:val="en-GB"/>
        </w:rPr>
        <w:t>Definite A</w:t>
      </w:r>
      <w:r w:rsidRPr="00D14F8A">
        <w:rPr>
          <w:lang w:val="en-GB"/>
        </w:rPr>
        <w:t>ntecedent</w:t>
      </w:r>
    </w:p>
    <w:p w:rsidR="00B933AF" w:rsidRPr="00B933AF" w:rsidRDefault="00B933AF" w:rsidP="00B97E07">
      <w:pPr>
        <w:pStyle w:val="NAPHText"/>
        <w:bidi w:val="0"/>
        <w:spacing w:line="240" w:lineRule="exact"/>
        <w:rPr>
          <w:lang w:val="en-GB"/>
        </w:rPr>
      </w:pPr>
    </w:p>
    <w:p w:rsidR="00343182" w:rsidRPr="00B933AF" w:rsidRDefault="00343182" w:rsidP="00B933AF">
      <w:pPr>
        <w:pStyle w:val="NAPHText"/>
        <w:bidi w:val="0"/>
      </w:pPr>
      <w:r w:rsidRPr="00B933AF">
        <w:t>There are two types of syndetic relative clauses in the Hebrew Bible, those with a definite antecedent and those without it; there is consequently no uniform rule:</w:t>
      </w:r>
      <w:r w:rsidRPr="00B933AF">
        <w:rPr>
          <w:rStyle w:val="a9"/>
        </w:rPr>
        <w:footnoteReference w:id="11"/>
      </w:r>
      <w:r w:rsidRPr="00B933AF">
        <w:t xml:space="preserve"> </w:t>
      </w:r>
    </w:p>
    <w:p w:rsidR="00343182" w:rsidRDefault="00343182" w:rsidP="00B933AF">
      <w:pPr>
        <w:pStyle w:val="NAPHText"/>
        <w:bidi w:val="0"/>
      </w:pPr>
    </w:p>
    <w:p w:rsidR="00B933AF" w:rsidRPr="00B933AF" w:rsidRDefault="00B933AF" w:rsidP="00D51418">
      <w:pPr>
        <w:pStyle w:val="NAPHText"/>
        <w:bidi w:val="0"/>
        <w:ind w:firstLine="0"/>
      </w:pPr>
      <w:r w:rsidRPr="00B933AF">
        <w:t xml:space="preserve">(1) </w:t>
      </w:r>
      <w:proofErr w:type="spellStart"/>
      <w:r w:rsidRPr="00B933AF">
        <w:t>Exod</w:t>
      </w:r>
      <w:proofErr w:type="spellEnd"/>
      <w:r w:rsidRPr="00B933AF">
        <w:t xml:space="preserve"> 3:5</w:t>
      </w:r>
    </w:p>
    <w:p w:rsidR="00343182" w:rsidRPr="00B933AF" w:rsidRDefault="00343182" w:rsidP="00D51418">
      <w:pPr>
        <w:pStyle w:val="NAPHText"/>
        <w:ind w:left="360" w:firstLine="0"/>
        <w:rPr>
          <w:rFonts w:ascii="SBL Hebrew" w:hAnsi="SBL Hebrew" w:cs="SBL Hebrew"/>
          <w:lang w:eastAsia="en-US"/>
        </w:rPr>
      </w:pPr>
      <w:r w:rsidRPr="00B933AF">
        <w:rPr>
          <w:rFonts w:ascii="SBL Hebrew" w:hAnsi="SBL Hebrew" w:cs="SBL Hebrew"/>
          <w:rtl/>
        </w:rPr>
        <w:lastRenderedPageBreak/>
        <w:t>וַיֹּאמֶר אַל תִּקְרַב הֲלֹם שַׁל</w:t>
      </w:r>
      <w:r w:rsidR="00D51418">
        <w:rPr>
          <w:rFonts w:ascii="SBL Hebrew" w:hAnsi="SBL Hebrew" w:cs="SBL Hebrew"/>
          <w:rtl/>
        </w:rPr>
        <w:t xml:space="preserve"> נְעָלֶיךָ מֵעַל רַגְלֶיךָ כִּי</w:t>
      </w:r>
      <w:r w:rsidRPr="00B933AF">
        <w:rPr>
          <w:rFonts w:ascii="SBL Hebrew" w:hAnsi="SBL Hebrew" w:cs="SBL Hebrew"/>
          <w:rtl/>
        </w:rPr>
        <w:t xml:space="preserve"> </w:t>
      </w:r>
      <w:r w:rsidRPr="00C931EE">
        <w:rPr>
          <w:rFonts w:ascii="SBL Hebrew" w:hAnsi="SBL Hebrew" w:cs="SBL Hebrew"/>
          <w:rtl/>
        </w:rPr>
        <w:t>הַמָּקוֹם</w:t>
      </w:r>
      <w:r w:rsidRPr="00B933AF">
        <w:rPr>
          <w:rFonts w:ascii="SBL Hebrew" w:hAnsi="SBL Hebrew" w:cs="SBL Hebrew"/>
          <w:rtl/>
        </w:rPr>
        <w:t xml:space="preserve"> אֲשֶׁר אַתָּה עוֹמֵד עָלָיו אַדְמַת קֹדֶשׁ הוּא</w:t>
      </w:r>
      <w:r w:rsidRPr="00B933AF">
        <w:rPr>
          <w:rFonts w:ascii="SBL Hebrew" w:hAnsi="SBL Hebrew" w:cs="SBL Hebrew"/>
          <w:lang w:eastAsia="en-US"/>
        </w:rPr>
        <w:t xml:space="preserve"> </w:t>
      </w:r>
    </w:p>
    <w:p w:rsidR="00D51418" w:rsidRDefault="00D51418" w:rsidP="00D51418">
      <w:pPr>
        <w:pStyle w:val="NAPHQuote"/>
        <w:bidi w:val="0"/>
        <w:rPr>
          <w:lang w:eastAsia="en-US"/>
        </w:rPr>
      </w:pPr>
    </w:p>
    <w:p w:rsidR="00343182" w:rsidRDefault="00343182" w:rsidP="00D51418">
      <w:pPr>
        <w:pStyle w:val="NAPHQuote"/>
        <w:bidi w:val="0"/>
        <w:rPr>
          <w:lang w:eastAsia="en-US"/>
        </w:rPr>
      </w:pPr>
      <w:r w:rsidRPr="00AC2885">
        <w:rPr>
          <w:lang w:eastAsia="en-US"/>
        </w:rPr>
        <w:t xml:space="preserve">And he said, </w:t>
      </w:r>
      <w:proofErr w:type="gramStart"/>
      <w:r w:rsidRPr="00AC2885">
        <w:rPr>
          <w:lang w:eastAsia="en-US"/>
        </w:rPr>
        <w:t>Do</w:t>
      </w:r>
      <w:proofErr w:type="gramEnd"/>
      <w:r w:rsidRPr="00AC2885">
        <w:rPr>
          <w:lang w:eastAsia="en-US"/>
        </w:rPr>
        <w:t xml:space="preserve"> not draw near; take your shoes from off your feet, for the place whereon </w:t>
      </w:r>
      <w:r>
        <w:rPr>
          <w:lang w:eastAsia="en-US"/>
        </w:rPr>
        <w:t>you are standing is holy ground.</w:t>
      </w:r>
    </w:p>
    <w:p w:rsidR="00D51418" w:rsidRDefault="00D51418" w:rsidP="00D51418">
      <w:pPr>
        <w:pStyle w:val="NAPHText"/>
        <w:bidi w:val="0"/>
        <w:rPr>
          <w:lang w:eastAsia="en-US"/>
        </w:rPr>
      </w:pPr>
    </w:p>
    <w:p w:rsidR="00D51418" w:rsidRPr="00D51418" w:rsidRDefault="00D51418" w:rsidP="00D51418">
      <w:pPr>
        <w:pStyle w:val="NAPHText"/>
        <w:bidi w:val="0"/>
        <w:ind w:firstLine="0"/>
      </w:pPr>
      <w:r w:rsidRPr="00D51418">
        <w:t xml:space="preserve">(2) </w:t>
      </w:r>
      <w:proofErr w:type="spellStart"/>
      <w:r w:rsidRPr="00D51418">
        <w:t>Exod</w:t>
      </w:r>
      <w:proofErr w:type="spellEnd"/>
      <w:r w:rsidRPr="00D51418">
        <w:t xml:space="preserve"> 1:8</w:t>
      </w:r>
    </w:p>
    <w:p w:rsidR="00343182" w:rsidRPr="00D51418" w:rsidRDefault="00343182" w:rsidP="00D51418">
      <w:pPr>
        <w:pStyle w:val="NAPHText"/>
        <w:rPr>
          <w:rFonts w:ascii="SBL Hebrew" w:hAnsi="SBL Hebrew" w:cs="SBL Hebrew"/>
          <w:lang w:eastAsia="en-US"/>
        </w:rPr>
      </w:pPr>
      <w:r w:rsidRPr="00D51418">
        <w:rPr>
          <w:rFonts w:ascii="SBL Hebrew" w:hAnsi="SBL Hebrew" w:cs="SBL Hebrew"/>
          <w:rtl/>
        </w:rPr>
        <w:t xml:space="preserve">וַיָּקָם מֶלֶךְ חָדָשׁ עַל מִצְרָיִם אֲשֶׁר לֹא יָדַע אֶת יוֹסֵף </w:t>
      </w:r>
      <w:r w:rsidRPr="00D51418">
        <w:rPr>
          <w:rFonts w:ascii="SBL Hebrew" w:hAnsi="SBL Hebrew" w:cs="SBL Hebrew"/>
          <w:lang w:eastAsia="en-US"/>
        </w:rPr>
        <w:t xml:space="preserve"> </w:t>
      </w:r>
    </w:p>
    <w:p w:rsidR="00D51418" w:rsidRDefault="00D51418" w:rsidP="00D51418">
      <w:pPr>
        <w:pStyle w:val="NAPHQuote"/>
        <w:bidi w:val="0"/>
      </w:pPr>
    </w:p>
    <w:p w:rsidR="00343182" w:rsidRDefault="00343182" w:rsidP="00D51418">
      <w:pPr>
        <w:pStyle w:val="NAPHQuote"/>
        <w:bidi w:val="0"/>
      </w:pPr>
      <w:r w:rsidRPr="00AC2885">
        <w:t>Now there rose up a new king over Egypt who knew not Joseph</w:t>
      </w:r>
      <w:r>
        <w:t>.</w:t>
      </w:r>
    </w:p>
    <w:p w:rsidR="00343182" w:rsidRPr="00C546B4" w:rsidRDefault="00343182" w:rsidP="00D51418">
      <w:pPr>
        <w:pStyle w:val="NAPHText"/>
        <w:bidi w:val="0"/>
      </w:pPr>
      <w:proofErr w:type="spellStart"/>
      <w:r>
        <w:t>Shemuel</w:t>
      </w:r>
      <w:proofErr w:type="spellEnd"/>
      <w:r>
        <w:t xml:space="preserve"> </w:t>
      </w:r>
      <w:proofErr w:type="spellStart"/>
      <w:r>
        <w:t>Benvenishti’s</w:t>
      </w:r>
      <w:proofErr w:type="spellEnd"/>
      <w:r>
        <w:t xml:space="preserve"> translation of the </w:t>
      </w:r>
      <w:r>
        <w:rPr>
          <w:i/>
          <w:iCs/>
        </w:rPr>
        <w:t>Treatise on Asthma</w:t>
      </w:r>
      <w:r>
        <w:t xml:space="preserve"> follows the pattern of the </w:t>
      </w:r>
      <w:proofErr w:type="spellStart"/>
      <w:r>
        <w:rPr>
          <w:i/>
          <w:iCs/>
        </w:rPr>
        <w:t>tsilah</w:t>
      </w:r>
      <w:proofErr w:type="spellEnd"/>
      <w:r>
        <w:rPr>
          <w:i/>
          <w:iCs/>
        </w:rPr>
        <w:t xml:space="preserve"> </w:t>
      </w:r>
      <w:r>
        <w:t xml:space="preserve">clause in Classical Arabic, with the definite antecedent having </w:t>
      </w:r>
      <w:r w:rsidRPr="00F611BF">
        <w:t>syndetic subordination</w:t>
      </w:r>
      <w:r>
        <w:t>, as in the examples that follow.</w:t>
      </w:r>
    </w:p>
    <w:p w:rsidR="00343182" w:rsidRDefault="00343182" w:rsidP="00D51418">
      <w:pPr>
        <w:pStyle w:val="NAPHText"/>
        <w:bidi w:val="0"/>
      </w:pPr>
    </w:p>
    <w:p w:rsidR="00343182" w:rsidRPr="00F611BF" w:rsidRDefault="00343182" w:rsidP="00D51418">
      <w:pPr>
        <w:pStyle w:val="3"/>
        <w:bidi w:val="0"/>
        <w:rPr>
          <w:rFonts w:ascii="SBL Hebrew" w:hAnsi="SBL Hebrew" w:cs="SBL Hebrew"/>
        </w:rPr>
      </w:pPr>
      <w:r>
        <w:t>2.</w:t>
      </w:r>
      <w:r w:rsidRPr="00F611BF">
        <w:t>1.1</w:t>
      </w:r>
      <w:r w:rsidR="00D51418">
        <w:t>.</w:t>
      </w:r>
      <w:r w:rsidRPr="00F611BF">
        <w:t xml:space="preserve"> </w:t>
      </w:r>
      <w:r>
        <w:t>Relative Clauses Introduced by</w:t>
      </w:r>
      <w:r w:rsidRPr="00F611BF">
        <w:t xml:space="preserve"> </w:t>
      </w:r>
      <w:r w:rsidRPr="00F611BF">
        <w:rPr>
          <w:rFonts w:ascii="SBL Hebrew" w:hAnsi="SBL Hebrew" w:cs="SBL Hebrew" w:hint="cs"/>
          <w:rtl/>
        </w:rPr>
        <w:t>ש</w:t>
      </w:r>
    </w:p>
    <w:p w:rsidR="00343182" w:rsidRDefault="00343182" w:rsidP="00D51418">
      <w:pPr>
        <w:pStyle w:val="NAPHText"/>
        <w:bidi w:val="0"/>
      </w:pPr>
    </w:p>
    <w:p w:rsidR="00D51418" w:rsidRPr="00D51418" w:rsidRDefault="00D51418" w:rsidP="00C92A0F">
      <w:pPr>
        <w:pStyle w:val="NAPHText"/>
        <w:bidi w:val="0"/>
        <w:ind w:firstLine="0"/>
      </w:pPr>
      <w:r w:rsidRPr="00D51418">
        <w:t>(3)</w:t>
      </w:r>
    </w:p>
    <w:p w:rsidR="00343182" w:rsidRPr="00D51418" w:rsidRDefault="00343182" w:rsidP="00D51418">
      <w:pPr>
        <w:pStyle w:val="NAPHText"/>
        <w:rPr>
          <w:rFonts w:ascii="SBL Hebrew" w:hAnsi="SBL Hebrew" w:cs="SBL Hebrew"/>
          <w:rtl/>
        </w:rPr>
      </w:pPr>
      <w:r w:rsidRPr="00D51418">
        <w:rPr>
          <w:rFonts w:ascii="SBL Hebrew" w:hAnsi="SBL Hebrew" w:cs="SBL Hebrew"/>
          <w:rtl/>
        </w:rPr>
        <w:t xml:space="preserve">וידע השיעור, שאם אכלו בימי ניסן, יקל עליו משאו </w:t>
      </w:r>
    </w:p>
    <w:p w:rsidR="00D51418" w:rsidRDefault="00D51418" w:rsidP="00D51418">
      <w:pPr>
        <w:pStyle w:val="NAPHQuote"/>
        <w:bidi w:val="0"/>
      </w:pPr>
    </w:p>
    <w:p w:rsidR="00343182" w:rsidRPr="00F611BF" w:rsidRDefault="00343182" w:rsidP="00D51418">
      <w:pPr>
        <w:pStyle w:val="NAPHQuote"/>
        <w:bidi w:val="0"/>
      </w:pPr>
      <w:r w:rsidRPr="00F611BF">
        <w:t>And knowing the amount, which if he consumes it in the springtime, can be easily tolerated (p. 10).</w:t>
      </w:r>
    </w:p>
    <w:p w:rsidR="00343182" w:rsidRDefault="00343182" w:rsidP="00213524">
      <w:pPr>
        <w:pStyle w:val="NAPHQuote"/>
        <w:bidi w:val="0"/>
      </w:pPr>
      <w:proofErr w:type="spellStart"/>
      <w:proofErr w:type="gramStart"/>
      <w:r w:rsidRPr="00D51418">
        <w:rPr>
          <w:i/>
          <w:iCs/>
        </w:rPr>
        <w:t>wa-yaʻlamu</w:t>
      </w:r>
      <w:proofErr w:type="spellEnd"/>
      <w:proofErr w:type="gramEnd"/>
      <w:r w:rsidRPr="00D51418">
        <w:rPr>
          <w:i/>
          <w:iCs/>
        </w:rPr>
        <w:t xml:space="preserve"> l-</w:t>
      </w:r>
      <w:proofErr w:type="spellStart"/>
      <w:r w:rsidRPr="00D51418">
        <w:rPr>
          <w:i/>
          <w:iCs/>
        </w:rPr>
        <w:t>miqdāra</w:t>
      </w:r>
      <w:proofErr w:type="spellEnd"/>
      <w:r w:rsidRPr="00D51418">
        <w:rPr>
          <w:i/>
          <w:iCs/>
        </w:rPr>
        <w:t xml:space="preserve"> l-</w:t>
      </w:r>
      <w:proofErr w:type="spellStart"/>
      <w:r w:rsidRPr="00D51418">
        <w:rPr>
          <w:i/>
          <w:iCs/>
        </w:rPr>
        <w:t>la</w:t>
      </w:r>
      <w:r w:rsidRPr="00213524">
        <w:rPr>
          <w:i/>
          <w:iCs/>
        </w:rPr>
        <w:t>ḏ</w:t>
      </w:r>
      <w:r w:rsidR="00213524" w:rsidRPr="00213524">
        <w:rPr>
          <w:i/>
          <w:iCs/>
        </w:rPr>
        <w:t>ī</w:t>
      </w:r>
      <w:proofErr w:type="spellEnd"/>
      <w:r w:rsidRPr="00D51418">
        <w:rPr>
          <w:i/>
          <w:iCs/>
        </w:rPr>
        <w:t xml:space="preserve"> </w:t>
      </w:r>
      <w:proofErr w:type="spellStart"/>
      <w:r w:rsidRPr="00D51418">
        <w:rPr>
          <w:i/>
          <w:iCs/>
        </w:rPr>
        <w:t>ʼiḏā</w:t>
      </w:r>
      <w:proofErr w:type="spellEnd"/>
      <w:r w:rsidRPr="00D51418">
        <w:rPr>
          <w:i/>
          <w:iCs/>
        </w:rPr>
        <w:t xml:space="preserve"> </w:t>
      </w:r>
      <w:proofErr w:type="spellStart"/>
      <w:r w:rsidRPr="00D51418">
        <w:rPr>
          <w:i/>
          <w:iCs/>
        </w:rPr>
        <w:t>tanāwalahu</w:t>
      </w:r>
      <w:proofErr w:type="spellEnd"/>
      <w:r w:rsidRPr="00D51418">
        <w:rPr>
          <w:i/>
          <w:iCs/>
        </w:rPr>
        <w:t xml:space="preserve"> </w:t>
      </w:r>
      <w:proofErr w:type="spellStart"/>
      <w:r w:rsidRPr="00D51418">
        <w:rPr>
          <w:i/>
          <w:iCs/>
        </w:rPr>
        <w:t>f</w:t>
      </w:r>
      <w:r w:rsidR="00213524">
        <w:rPr>
          <w:i/>
          <w:iCs/>
        </w:rPr>
        <w:t>ī</w:t>
      </w:r>
      <w:proofErr w:type="spellEnd"/>
      <w:r w:rsidRPr="00D51418">
        <w:rPr>
          <w:i/>
          <w:iCs/>
        </w:rPr>
        <w:t xml:space="preserve"> </w:t>
      </w:r>
      <w:proofErr w:type="spellStart"/>
      <w:r w:rsidRPr="00D51418">
        <w:rPr>
          <w:i/>
          <w:iCs/>
        </w:rPr>
        <w:t>zamani</w:t>
      </w:r>
      <w:proofErr w:type="spellEnd"/>
      <w:r w:rsidRPr="00D51418">
        <w:rPr>
          <w:i/>
          <w:iCs/>
        </w:rPr>
        <w:t xml:space="preserve"> r-</w:t>
      </w:r>
      <w:proofErr w:type="spellStart"/>
      <w:r w:rsidRPr="00D51418">
        <w:rPr>
          <w:i/>
          <w:iCs/>
        </w:rPr>
        <w:t>rab</w:t>
      </w:r>
      <w:r w:rsidR="00213524">
        <w:rPr>
          <w:i/>
          <w:iCs/>
        </w:rPr>
        <w:t>ī</w:t>
      </w:r>
      <w:r w:rsidRPr="00D51418">
        <w:rPr>
          <w:i/>
          <w:iCs/>
        </w:rPr>
        <w:t>ʻi</w:t>
      </w:r>
      <w:proofErr w:type="spellEnd"/>
      <w:r w:rsidRPr="00D51418">
        <w:rPr>
          <w:i/>
          <w:iCs/>
        </w:rPr>
        <w:t xml:space="preserve"> </w:t>
      </w:r>
      <w:proofErr w:type="spellStart"/>
      <w:r w:rsidRPr="00D51418">
        <w:rPr>
          <w:i/>
          <w:iCs/>
        </w:rPr>
        <w:t>sahula</w:t>
      </w:r>
      <w:proofErr w:type="spellEnd"/>
      <w:r w:rsidRPr="00D51418">
        <w:rPr>
          <w:i/>
          <w:iCs/>
        </w:rPr>
        <w:t xml:space="preserve"> </w:t>
      </w:r>
      <w:proofErr w:type="spellStart"/>
      <w:r w:rsidRPr="00D51418">
        <w:rPr>
          <w:i/>
          <w:iCs/>
        </w:rPr>
        <w:t>ʻalayhe</w:t>
      </w:r>
      <w:proofErr w:type="spellEnd"/>
      <w:r w:rsidRPr="00D51418">
        <w:rPr>
          <w:i/>
          <w:iCs/>
        </w:rPr>
        <w:t xml:space="preserve"> </w:t>
      </w:r>
      <w:proofErr w:type="spellStart"/>
      <w:r w:rsidRPr="00D51418">
        <w:rPr>
          <w:i/>
          <w:iCs/>
        </w:rPr>
        <w:t>ḥtimāluhu</w:t>
      </w:r>
      <w:proofErr w:type="spellEnd"/>
      <w:r w:rsidRPr="00D51418">
        <w:t xml:space="preserve"> (p 24).</w:t>
      </w:r>
      <w:r w:rsidRPr="00D51418">
        <w:rPr>
          <w:rStyle w:val="a9"/>
        </w:rPr>
        <w:footnoteReference w:id="12"/>
      </w:r>
    </w:p>
    <w:p w:rsidR="00D51418" w:rsidRPr="00D51418" w:rsidRDefault="00D51418" w:rsidP="00D51418">
      <w:pPr>
        <w:pStyle w:val="NAPHText"/>
        <w:bidi w:val="0"/>
      </w:pPr>
    </w:p>
    <w:p w:rsidR="00343182" w:rsidRPr="00D51418" w:rsidRDefault="00D51418" w:rsidP="00C92A0F">
      <w:pPr>
        <w:pStyle w:val="NAPHText"/>
        <w:bidi w:val="0"/>
        <w:ind w:firstLine="0"/>
        <w:rPr>
          <w:rtl/>
        </w:rPr>
      </w:pPr>
      <w:r w:rsidRPr="00BD67AC">
        <w:t>(4)</w:t>
      </w:r>
    </w:p>
    <w:p w:rsidR="00343182" w:rsidRPr="00BD67AC" w:rsidRDefault="00343182" w:rsidP="00BD67AC">
      <w:pPr>
        <w:pStyle w:val="NAPHText"/>
        <w:rPr>
          <w:rFonts w:ascii="SBL Hebrew" w:hAnsi="SBL Hebrew" w:cs="SBL Hebrew"/>
          <w:rtl/>
        </w:rPr>
      </w:pPr>
      <w:r w:rsidRPr="00BD67AC">
        <w:rPr>
          <w:rFonts w:ascii="SBL Hebrew" w:hAnsi="SBL Hebrew" w:cs="SBL Hebrew"/>
          <w:rtl/>
        </w:rPr>
        <w:t xml:space="preserve">על כן יטעו בעלי הניסיון, שאין עמהם היקש </w:t>
      </w:r>
    </w:p>
    <w:p w:rsidR="00BD67AC" w:rsidRPr="00BD67AC" w:rsidRDefault="00BD67AC" w:rsidP="00BD67AC">
      <w:pPr>
        <w:pStyle w:val="NAPHQuote"/>
        <w:bidi w:val="0"/>
      </w:pPr>
    </w:p>
    <w:p w:rsidR="00343182" w:rsidRPr="00BD67AC" w:rsidRDefault="00343182" w:rsidP="00615578">
      <w:pPr>
        <w:pStyle w:val="NAPHQuote"/>
        <w:bidi w:val="0"/>
        <w:rPr>
          <w:rtl/>
        </w:rPr>
      </w:pPr>
      <w:r w:rsidRPr="00BD67AC">
        <w:t>And hence the empiricists, who do not employ analogical reasoning, commit errors (</w:t>
      </w:r>
      <w:r w:rsidR="00F575BF" w:rsidRPr="00F575BF">
        <w:t xml:space="preserve">p. </w:t>
      </w:r>
      <w:r w:rsidR="00615578">
        <w:t>25</w:t>
      </w:r>
      <w:r w:rsidRPr="00F575BF">
        <w:t>).</w:t>
      </w:r>
    </w:p>
    <w:p w:rsidR="00343182" w:rsidRPr="00BD67AC" w:rsidRDefault="00343182" w:rsidP="00BD67AC">
      <w:pPr>
        <w:pStyle w:val="NAPHQuote"/>
        <w:bidi w:val="0"/>
        <w:rPr>
          <w:rtl/>
        </w:rPr>
      </w:pPr>
      <w:proofErr w:type="spellStart"/>
      <w:proofErr w:type="gramStart"/>
      <w:r w:rsidRPr="00BD67AC">
        <w:rPr>
          <w:i/>
          <w:iCs/>
        </w:rPr>
        <w:t>yaġlaṭu</w:t>
      </w:r>
      <w:proofErr w:type="spellEnd"/>
      <w:proofErr w:type="gramEnd"/>
      <w:r w:rsidRPr="00BD67AC">
        <w:rPr>
          <w:i/>
          <w:iCs/>
        </w:rPr>
        <w:t xml:space="preserve"> </w:t>
      </w:r>
      <w:proofErr w:type="spellStart"/>
      <w:r w:rsidRPr="00BD67AC">
        <w:rPr>
          <w:i/>
          <w:iCs/>
        </w:rPr>
        <w:t>ʼahlu</w:t>
      </w:r>
      <w:proofErr w:type="spellEnd"/>
      <w:r w:rsidRPr="00BD67AC">
        <w:rPr>
          <w:i/>
          <w:iCs/>
        </w:rPr>
        <w:t xml:space="preserve"> t-</w:t>
      </w:r>
      <w:proofErr w:type="spellStart"/>
      <w:r w:rsidRPr="00BD67AC">
        <w:rPr>
          <w:i/>
          <w:iCs/>
        </w:rPr>
        <w:t>taǧribati</w:t>
      </w:r>
      <w:proofErr w:type="spellEnd"/>
      <w:r w:rsidRPr="00BD67AC">
        <w:rPr>
          <w:i/>
          <w:iCs/>
        </w:rPr>
        <w:t xml:space="preserve"> l-</w:t>
      </w:r>
      <w:proofErr w:type="spellStart"/>
      <w:r w:rsidRPr="00BD67AC">
        <w:rPr>
          <w:i/>
          <w:iCs/>
        </w:rPr>
        <w:t>laḏ</w:t>
      </w:r>
      <w:r w:rsidR="00213524">
        <w:rPr>
          <w:i/>
          <w:iCs/>
        </w:rPr>
        <w:t>ī</w:t>
      </w:r>
      <w:r w:rsidRPr="00BD67AC">
        <w:rPr>
          <w:i/>
          <w:iCs/>
        </w:rPr>
        <w:t>na</w:t>
      </w:r>
      <w:proofErr w:type="spellEnd"/>
      <w:r w:rsidRPr="00BD67AC">
        <w:rPr>
          <w:i/>
          <w:iCs/>
        </w:rPr>
        <w:t xml:space="preserve"> </w:t>
      </w:r>
      <w:proofErr w:type="spellStart"/>
      <w:r w:rsidRPr="00BD67AC">
        <w:rPr>
          <w:i/>
          <w:iCs/>
        </w:rPr>
        <w:t>lā</w:t>
      </w:r>
      <w:proofErr w:type="spellEnd"/>
      <w:r w:rsidRPr="00BD67AC">
        <w:rPr>
          <w:i/>
          <w:iCs/>
        </w:rPr>
        <w:t xml:space="preserve"> </w:t>
      </w:r>
      <w:proofErr w:type="spellStart"/>
      <w:r w:rsidRPr="00BD67AC">
        <w:rPr>
          <w:i/>
          <w:iCs/>
        </w:rPr>
        <w:t>qiyāsa</w:t>
      </w:r>
      <w:proofErr w:type="spellEnd"/>
      <w:r w:rsidRPr="00BD67AC">
        <w:rPr>
          <w:i/>
          <w:iCs/>
        </w:rPr>
        <w:t xml:space="preserve"> </w:t>
      </w:r>
      <w:proofErr w:type="spellStart"/>
      <w:r w:rsidRPr="00BD67AC">
        <w:rPr>
          <w:i/>
          <w:iCs/>
        </w:rPr>
        <w:t>maʻahum</w:t>
      </w:r>
      <w:proofErr w:type="spellEnd"/>
      <w:r w:rsidRPr="00BD67AC">
        <w:t xml:space="preserve"> </w:t>
      </w:r>
      <w:r w:rsidRPr="00F575BF">
        <w:t>(</w:t>
      </w:r>
      <w:r w:rsidR="00F575BF" w:rsidRPr="00F575BF">
        <w:t>p. 61</w:t>
      </w:r>
      <w:r w:rsidRPr="00F575BF">
        <w:t>).</w:t>
      </w:r>
    </w:p>
    <w:p w:rsidR="00343182" w:rsidRPr="00F611BF" w:rsidRDefault="00343182" w:rsidP="00BD67AC">
      <w:pPr>
        <w:pStyle w:val="NAPHText"/>
        <w:bidi w:val="0"/>
        <w:rPr>
          <w:rtl/>
        </w:rPr>
      </w:pPr>
    </w:p>
    <w:p w:rsidR="00343182" w:rsidRDefault="00343182" w:rsidP="00C931EE">
      <w:pPr>
        <w:pStyle w:val="3"/>
        <w:bidi w:val="0"/>
        <w:rPr>
          <w:rFonts w:cs="SBL Hebrew"/>
        </w:rPr>
      </w:pPr>
      <w:r>
        <w:rPr>
          <w:rFonts w:cs="SBL Hebrew"/>
        </w:rPr>
        <w:t>2.</w:t>
      </w:r>
      <w:r w:rsidRPr="00F611BF">
        <w:rPr>
          <w:rFonts w:cs="SBL Hebrew"/>
        </w:rPr>
        <w:t>1.2</w:t>
      </w:r>
      <w:r w:rsidR="00E846DD">
        <w:rPr>
          <w:rFonts w:cs="SBL Hebrew"/>
        </w:rPr>
        <w:t>.</w:t>
      </w:r>
      <w:r w:rsidRPr="00F611BF">
        <w:rPr>
          <w:rFonts w:cs="SBL Hebrew"/>
        </w:rPr>
        <w:t xml:space="preserve"> </w:t>
      </w:r>
      <w:r>
        <w:t>Relative Clauses Introduced by</w:t>
      </w:r>
      <w:r w:rsidRPr="00F611BF">
        <w:t xml:space="preserve"> </w:t>
      </w:r>
      <w:r w:rsidRPr="00F611BF">
        <w:rPr>
          <w:rFonts w:cs="SBL Hebrew"/>
          <w:rtl/>
        </w:rPr>
        <w:t>ה</w:t>
      </w:r>
    </w:p>
    <w:p w:rsidR="00343182" w:rsidRDefault="00343182" w:rsidP="00D60939">
      <w:pPr>
        <w:pStyle w:val="NAPHText"/>
        <w:bidi w:val="0"/>
        <w:spacing w:line="240" w:lineRule="exact"/>
      </w:pPr>
    </w:p>
    <w:p w:rsidR="00C92A0F" w:rsidRPr="00F611BF" w:rsidRDefault="00C92A0F" w:rsidP="00C92A0F">
      <w:pPr>
        <w:pStyle w:val="NAPHText"/>
        <w:bidi w:val="0"/>
        <w:ind w:firstLine="0"/>
      </w:pPr>
      <w:r w:rsidRPr="00F611BF">
        <w:rPr>
          <w:rFonts w:ascii="SBL Hebrew" w:hAnsi="SBL Hebrew" w:cs="SBL Hebrew"/>
        </w:rPr>
        <w:t>(5)</w:t>
      </w:r>
    </w:p>
    <w:p w:rsidR="00343182" w:rsidRPr="00C92A0F" w:rsidRDefault="00343182" w:rsidP="00C92A0F">
      <w:pPr>
        <w:pStyle w:val="NAPHText"/>
        <w:rPr>
          <w:rFonts w:ascii="SBL Hebrew" w:hAnsi="SBL Hebrew" w:cs="SBL Hebrew"/>
          <w:rtl/>
        </w:rPr>
      </w:pPr>
      <w:r w:rsidRPr="00C92A0F">
        <w:rPr>
          <w:rFonts w:ascii="SBL Hebrew" w:hAnsi="SBL Hebrew" w:cs="SBL Hebrew"/>
          <w:rtl/>
        </w:rPr>
        <w:t>ועל כן אייעץ לכל בני האדם שירחיקו כל המסעדים</w:t>
      </w:r>
      <w:r w:rsidR="00C92A0F" w:rsidRPr="00C92A0F">
        <w:rPr>
          <w:rFonts w:ascii="SBL Hebrew" w:hAnsi="SBL Hebrew" w:cs="SBL Hebrew"/>
          <w:rtl/>
        </w:rPr>
        <w:t xml:space="preserve"> המולידים הליחות הרעות</w:t>
      </w:r>
    </w:p>
    <w:p w:rsidR="00C92A0F" w:rsidRPr="00C92A0F" w:rsidRDefault="00C92A0F" w:rsidP="00C92A0F">
      <w:pPr>
        <w:pStyle w:val="NAPHQuote"/>
        <w:bidi w:val="0"/>
      </w:pPr>
    </w:p>
    <w:p w:rsidR="00343182" w:rsidRPr="00C92A0F" w:rsidRDefault="00343182" w:rsidP="00C92A0F">
      <w:pPr>
        <w:pStyle w:val="NAPHQuote"/>
        <w:bidi w:val="0"/>
        <w:rPr>
          <w:rtl/>
        </w:rPr>
      </w:pPr>
      <w:r w:rsidRPr="00C92A0F">
        <w:t>Therefore, I advise everyone to abstain from all the foodstuffs that produce bad humors</w:t>
      </w:r>
      <w:r w:rsidRPr="00C92A0F">
        <w:rPr>
          <w:lang w:eastAsia="en-US"/>
        </w:rPr>
        <w:t xml:space="preserve"> </w:t>
      </w:r>
      <w:r w:rsidRPr="00C92A0F">
        <w:t xml:space="preserve">(p. </w:t>
      </w:r>
      <w:r w:rsidR="00C92A0F">
        <w:t>4).</w:t>
      </w:r>
    </w:p>
    <w:p w:rsidR="00343182" w:rsidRPr="00C92A0F" w:rsidRDefault="00343182" w:rsidP="00C92A0F">
      <w:pPr>
        <w:pStyle w:val="NAPHQuote"/>
        <w:bidi w:val="0"/>
      </w:pPr>
      <w:proofErr w:type="spellStart"/>
      <w:proofErr w:type="gramStart"/>
      <w:r w:rsidRPr="00C92A0F">
        <w:rPr>
          <w:i/>
          <w:iCs/>
        </w:rPr>
        <w:t>wa-liḏālika</w:t>
      </w:r>
      <w:proofErr w:type="spellEnd"/>
      <w:proofErr w:type="gramEnd"/>
      <w:r w:rsidRPr="00C92A0F">
        <w:rPr>
          <w:i/>
          <w:iCs/>
        </w:rPr>
        <w:t xml:space="preserve"> </w:t>
      </w:r>
      <w:proofErr w:type="spellStart"/>
      <w:r w:rsidRPr="00C92A0F">
        <w:rPr>
          <w:i/>
          <w:iCs/>
        </w:rPr>
        <w:t>ʼuš</w:t>
      </w:r>
      <w:r w:rsidR="00213524">
        <w:rPr>
          <w:i/>
          <w:iCs/>
        </w:rPr>
        <w:t>ī</w:t>
      </w:r>
      <w:r w:rsidRPr="00C92A0F">
        <w:rPr>
          <w:i/>
          <w:iCs/>
        </w:rPr>
        <w:t>ru</w:t>
      </w:r>
      <w:proofErr w:type="spellEnd"/>
      <w:r w:rsidRPr="00C92A0F">
        <w:rPr>
          <w:i/>
          <w:iCs/>
        </w:rPr>
        <w:t xml:space="preserve"> </w:t>
      </w:r>
      <w:proofErr w:type="spellStart"/>
      <w:r w:rsidRPr="00C92A0F">
        <w:rPr>
          <w:i/>
          <w:iCs/>
        </w:rPr>
        <w:t>ʻalā</w:t>
      </w:r>
      <w:proofErr w:type="spellEnd"/>
      <w:r w:rsidRPr="00C92A0F">
        <w:rPr>
          <w:i/>
          <w:iCs/>
        </w:rPr>
        <w:t xml:space="preserve"> </w:t>
      </w:r>
      <w:proofErr w:type="spellStart"/>
      <w:r w:rsidRPr="00C92A0F">
        <w:rPr>
          <w:i/>
          <w:iCs/>
        </w:rPr>
        <w:t>ġam</w:t>
      </w:r>
      <w:r w:rsidR="00213524">
        <w:rPr>
          <w:i/>
          <w:iCs/>
        </w:rPr>
        <w:t>ī</w:t>
      </w:r>
      <w:r w:rsidRPr="00C92A0F">
        <w:rPr>
          <w:i/>
          <w:iCs/>
        </w:rPr>
        <w:t>ʻi</w:t>
      </w:r>
      <w:proofErr w:type="spellEnd"/>
      <w:r w:rsidRPr="00C92A0F">
        <w:rPr>
          <w:i/>
          <w:iCs/>
        </w:rPr>
        <w:t xml:space="preserve"> n-</w:t>
      </w:r>
      <w:proofErr w:type="spellStart"/>
      <w:r w:rsidRPr="00C92A0F">
        <w:rPr>
          <w:i/>
          <w:iCs/>
        </w:rPr>
        <w:t>nās</w:t>
      </w:r>
      <w:r w:rsidR="00213524">
        <w:rPr>
          <w:i/>
          <w:iCs/>
        </w:rPr>
        <w:t>ī</w:t>
      </w:r>
      <w:proofErr w:type="spellEnd"/>
      <w:r w:rsidRPr="00C92A0F">
        <w:rPr>
          <w:i/>
          <w:iCs/>
        </w:rPr>
        <w:t xml:space="preserve"> </w:t>
      </w:r>
      <w:proofErr w:type="spellStart"/>
      <w:r w:rsidRPr="00C92A0F">
        <w:rPr>
          <w:i/>
          <w:iCs/>
        </w:rPr>
        <w:t>ʼan</w:t>
      </w:r>
      <w:proofErr w:type="spellEnd"/>
      <w:r w:rsidRPr="00C92A0F">
        <w:rPr>
          <w:i/>
          <w:iCs/>
        </w:rPr>
        <w:t xml:space="preserve"> </w:t>
      </w:r>
      <w:proofErr w:type="spellStart"/>
      <w:r w:rsidRPr="00C92A0F">
        <w:rPr>
          <w:i/>
          <w:iCs/>
        </w:rPr>
        <w:t>yaġtanibū</w:t>
      </w:r>
      <w:proofErr w:type="spellEnd"/>
      <w:r w:rsidRPr="00C92A0F">
        <w:rPr>
          <w:i/>
          <w:iCs/>
        </w:rPr>
        <w:t xml:space="preserve"> </w:t>
      </w:r>
      <w:proofErr w:type="spellStart"/>
      <w:r w:rsidRPr="00C92A0F">
        <w:rPr>
          <w:i/>
          <w:iCs/>
        </w:rPr>
        <w:t>ġam</w:t>
      </w:r>
      <w:r w:rsidR="00213524">
        <w:rPr>
          <w:i/>
          <w:iCs/>
        </w:rPr>
        <w:t>ī</w:t>
      </w:r>
      <w:r w:rsidRPr="00C92A0F">
        <w:rPr>
          <w:i/>
          <w:iCs/>
        </w:rPr>
        <w:t>ʻa</w:t>
      </w:r>
      <w:proofErr w:type="spellEnd"/>
      <w:r w:rsidRPr="00C92A0F">
        <w:rPr>
          <w:i/>
          <w:iCs/>
        </w:rPr>
        <w:t xml:space="preserve"> l-</w:t>
      </w:r>
      <w:proofErr w:type="spellStart"/>
      <w:r w:rsidRPr="00C92A0F">
        <w:rPr>
          <w:i/>
          <w:iCs/>
        </w:rPr>
        <w:t>lʼadwiyati</w:t>
      </w:r>
      <w:proofErr w:type="spellEnd"/>
      <w:r w:rsidRPr="00C92A0F">
        <w:rPr>
          <w:i/>
          <w:iCs/>
        </w:rPr>
        <w:t xml:space="preserve"> l-</w:t>
      </w:r>
      <w:proofErr w:type="spellStart"/>
      <w:r w:rsidRPr="00C92A0F">
        <w:rPr>
          <w:i/>
          <w:iCs/>
        </w:rPr>
        <w:t>lmawġūdati</w:t>
      </w:r>
      <w:proofErr w:type="spellEnd"/>
      <w:r w:rsidRPr="00C92A0F">
        <w:rPr>
          <w:i/>
          <w:iCs/>
        </w:rPr>
        <w:t xml:space="preserve"> li-l-</w:t>
      </w:r>
      <w:proofErr w:type="spellStart"/>
      <w:r w:rsidRPr="00C92A0F">
        <w:rPr>
          <w:i/>
          <w:iCs/>
        </w:rPr>
        <w:t>ʼaxlāṭi</w:t>
      </w:r>
      <w:proofErr w:type="spellEnd"/>
      <w:r w:rsidRPr="00C92A0F">
        <w:rPr>
          <w:i/>
          <w:iCs/>
        </w:rPr>
        <w:t xml:space="preserve"> r-</w:t>
      </w:r>
      <w:proofErr w:type="spellStart"/>
      <w:r w:rsidRPr="00C92A0F">
        <w:rPr>
          <w:i/>
          <w:iCs/>
        </w:rPr>
        <w:t>radiʼati</w:t>
      </w:r>
      <w:proofErr w:type="spellEnd"/>
      <w:r w:rsidRPr="00C92A0F">
        <w:t xml:space="preserve"> (p. 9)</w:t>
      </w:r>
      <w:r w:rsidR="00C92A0F">
        <w:t>.</w:t>
      </w:r>
    </w:p>
    <w:p w:rsidR="00343182" w:rsidRDefault="00343182" w:rsidP="00D60939">
      <w:pPr>
        <w:pStyle w:val="NAPHText"/>
        <w:bidi w:val="0"/>
        <w:spacing w:line="240" w:lineRule="exact"/>
      </w:pPr>
    </w:p>
    <w:p w:rsidR="00C92A0F" w:rsidRPr="00C92A0F" w:rsidRDefault="00C92A0F" w:rsidP="00C92A0F">
      <w:pPr>
        <w:pStyle w:val="NAPHText"/>
        <w:bidi w:val="0"/>
        <w:ind w:firstLine="0"/>
        <w:rPr>
          <w:rtl/>
        </w:rPr>
      </w:pPr>
      <w:r w:rsidRPr="00C92A0F">
        <w:t>(6)</w:t>
      </w:r>
    </w:p>
    <w:p w:rsidR="00343182" w:rsidRPr="00C92A0F" w:rsidRDefault="00343182" w:rsidP="00C92A0F">
      <w:pPr>
        <w:pStyle w:val="NAPHText"/>
        <w:rPr>
          <w:rFonts w:ascii="SBL Hebrew" w:hAnsi="SBL Hebrew" w:cs="SBL Hebrew"/>
          <w:rtl/>
        </w:rPr>
      </w:pPr>
      <w:r w:rsidRPr="00C92A0F">
        <w:rPr>
          <w:rFonts w:ascii="SBL Hebrew" w:hAnsi="SBL Hebrew" w:cs="SBL Hebrew"/>
          <w:rtl/>
        </w:rPr>
        <w:t>הדם</w:t>
      </w:r>
      <w:r w:rsidR="00C92A0F">
        <w:rPr>
          <w:rFonts w:ascii="SBL Hebrew" w:hAnsi="SBL Hebrew" w:cs="SBL Hebrew"/>
          <w:rtl/>
        </w:rPr>
        <w:t>, הנמצא</w:t>
      </w:r>
      <w:r w:rsidRPr="00C92A0F">
        <w:rPr>
          <w:rFonts w:ascii="SBL Hebrew" w:hAnsi="SBL Hebrew" w:cs="SBL Hebrew"/>
          <w:rtl/>
        </w:rPr>
        <w:t xml:space="preserve"> בכבד יקרא הרוח הטבעי</w:t>
      </w:r>
    </w:p>
    <w:p w:rsidR="00C92A0F" w:rsidRPr="00C92A0F" w:rsidRDefault="00C92A0F" w:rsidP="00C92A0F">
      <w:pPr>
        <w:pStyle w:val="NAPHQuote"/>
        <w:bidi w:val="0"/>
      </w:pPr>
    </w:p>
    <w:p w:rsidR="00343182" w:rsidRPr="00C92A0F" w:rsidRDefault="00343182" w:rsidP="00C92A0F">
      <w:pPr>
        <w:pStyle w:val="NAPHQuote"/>
        <w:bidi w:val="0"/>
        <w:rPr>
          <w:rtl/>
        </w:rPr>
      </w:pPr>
      <w:r w:rsidRPr="00C92A0F">
        <w:t xml:space="preserve">The blood found in the liver is called </w:t>
      </w:r>
      <w:r w:rsidR="00C92A0F">
        <w:t>“</w:t>
      </w:r>
      <w:r w:rsidRPr="00C92A0F">
        <w:t xml:space="preserve">natural </w:t>
      </w:r>
      <w:proofErr w:type="spellStart"/>
      <w:r w:rsidRPr="00C92A0F">
        <w:t>pneuma</w:t>
      </w:r>
      <w:proofErr w:type="spellEnd"/>
      <w:r w:rsidR="00C92A0F">
        <w:t>”</w:t>
      </w:r>
      <w:r w:rsidRPr="00C92A0F">
        <w:t xml:space="preserve"> (p. </w:t>
      </w:r>
      <w:r w:rsidR="00C92A0F">
        <w:t>33).</w:t>
      </w:r>
    </w:p>
    <w:p w:rsidR="00343182" w:rsidRPr="00C92A0F" w:rsidRDefault="00343182" w:rsidP="00C92A0F">
      <w:pPr>
        <w:pStyle w:val="NAPHQuote"/>
        <w:bidi w:val="0"/>
      </w:pPr>
      <w:proofErr w:type="spellStart"/>
      <w:proofErr w:type="gramStart"/>
      <w:r w:rsidRPr="00C92A0F">
        <w:rPr>
          <w:i/>
          <w:iCs/>
        </w:rPr>
        <w:t>fa-buxāru</w:t>
      </w:r>
      <w:proofErr w:type="spellEnd"/>
      <w:proofErr w:type="gramEnd"/>
      <w:r w:rsidRPr="00C92A0F">
        <w:rPr>
          <w:i/>
          <w:iCs/>
        </w:rPr>
        <w:t xml:space="preserve"> d-</w:t>
      </w:r>
      <w:proofErr w:type="spellStart"/>
      <w:r w:rsidRPr="00C92A0F">
        <w:rPr>
          <w:i/>
          <w:iCs/>
        </w:rPr>
        <w:t>dami</w:t>
      </w:r>
      <w:proofErr w:type="spellEnd"/>
      <w:r w:rsidRPr="00C92A0F">
        <w:rPr>
          <w:i/>
          <w:iCs/>
        </w:rPr>
        <w:t xml:space="preserve"> l-</w:t>
      </w:r>
      <w:proofErr w:type="spellStart"/>
      <w:r w:rsidRPr="00C92A0F">
        <w:rPr>
          <w:i/>
          <w:iCs/>
        </w:rPr>
        <w:t>mawǧūdi</w:t>
      </w:r>
      <w:proofErr w:type="spellEnd"/>
      <w:r w:rsidRPr="00C92A0F">
        <w:rPr>
          <w:i/>
          <w:iCs/>
        </w:rPr>
        <w:t xml:space="preserve"> </w:t>
      </w:r>
      <w:proofErr w:type="spellStart"/>
      <w:r w:rsidRPr="00C92A0F">
        <w:rPr>
          <w:i/>
          <w:iCs/>
        </w:rPr>
        <w:t>f</w:t>
      </w:r>
      <w:r w:rsidR="00213524">
        <w:rPr>
          <w:i/>
          <w:iCs/>
        </w:rPr>
        <w:t>ī</w:t>
      </w:r>
      <w:proofErr w:type="spellEnd"/>
      <w:r w:rsidRPr="00C92A0F">
        <w:rPr>
          <w:i/>
          <w:iCs/>
        </w:rPr>
        <w:t xml:space="preserve"> l-</w:t>
      </w:r>
      <w:proofErr w:type="spellStart"/>
      <w:r w:rsidRPr="00C92A0F">
        <w:rPr>
          <w:i/>
          <w:iCs/>
        </w:rPr>
        <w:t>kabidi</w:t>
      </w:r>
      <w:proofErr w:type="spellEnd"/>
      <w:r w:rsidRPr="00C92A0F">
        <w:rPr>
          <w:i/>
          <w:iCs/>
        </w:rPr>
        <w:t xml:space="preserve"> </w:t>
      </w:r>
      <w:proofErr w:type="spellStart"/>
      <w:r w:rsidRPr="00C92A0F">
        <w:rPr>
          <w:i/>
          <w:iCs/>
        </w:rPr>
        <w:t>yusammā</w:t>
      </w:r>
      <w:proofErr w:type="spellEnd"/>
      <w:r w:rsidRPr="00C92A0F">
        <w:rPr>
          <w:i/>
          <w:iCs/>
        </w:rPr>
        <w:t xml:space="preserve"> r-</w:t>
      </w:r>
      <w:proofErr w:type="spellStart"/>
      <w:r w:rsidRPr="00C92A0F">
        <w:rPr>
          <w:i/>
          <w:iCs/>
        </w:rPr>
        <w:t>rūḥa</w:t>
      </w:r>
      <w:proofErr w:type="spellEnd"/>
      <w:r w:rsidRPr="00C92A0F">
        <w:rPr>
          <w:i/>
          <w:iCs/>
        </w:rPr>
        <w:t xml:space="preserve"> ṭ-</w:t>
      </w:r>
      <w:proofErr w:type="spellStart"/>
      <w:r w:rsidRPr="00C92A0F">
        <w:rPr>
          <w:i/>
          <w:iCs/>
        </w:rPr>
        <w:t>ṭab</w:t>
      </w:r>
      <w:r w:rsidR="00213524">
        <w:rPr>
          <w:i/>
          <w:iCs/>
        </w:rPr>
        <w:t>ī</w:t>
      </w:r>
      <w:r w:rsidRPr="00C92A0F">
        <w:rPr>
          <w:i/>
          <w:iCs/>
        </w:rPr>
        <w:t>ʻiyyata</w:t>
      </w:r>
      <w:proofErr w:type="spellEnd"/>
      <w:r w:rsidRPr="00C92A0F">
        <w:t xml:space="preserve"> (p. 80).</w:t>
      </w:r>
    </w:p>
    <w:p w:rsidR="003528D8" w:rsidRDefault="003528D8" w:rsidP="00C931EE">
      <w:pPr>
        <w:pStyle w:val="3"/>
        <w:bidi w:val="0"/>
        <w:rPr>
          <w:rFonts w:cs="SBL Hebrew"/>
        </w:rPr>
      </w:pPr>
    </w:p>
    <w:p w:rsidR="003528D8" w:rsidRDefault="003528D8">
      <w:pPr>
        <w:suppressAutoHyphens w:val="0"/>
        <w:bidi w:val="0"/>
        <w:spacing w:after="160" w:line="259" w:lineRule="auto"/>
        <w:rPr>
          <w:rFonts w:cs="SBL Hebrew"/>
          <w:i/>
          <w:iCs/>
          <w:sz w:val="28"/>
          <w:szCs w:val="28"/>
        </w:rPr>
      </w:pPr>
      <w:r>
        <w:rPr>
          <w:rFonts w:cs="SBL Hebrew"/>
        </w:rPr>
        <w:br w:type="page"/>
      </w:r>
    </w:p>
    <w:p w:rsidR="00343182" w:rsidRDefault="00343182" w:rsidP="003528D8">
      <w:pPr>
        <w:pStyle w:val="3"/>
        <w:bidi w:val="0"/>
        <w:rPr>
          <w:rFonts w:cs="SBL Hebrew"/>
        </w:rPr>
      </w:pPr>
      <w:r>
        <w:rPr>
          <w:rFonts w:cs="SBL Hebrew"/>
        </w:rPr>
        <w:lastRenderedPageBreak/>
        <w:t>2.</w:t>
      </w:r>
      <w:r w:rsidRPr="00F611BF">
        <w:rPr>
          <w:rFonts w:cs="SBL Hebrew"/>
        </w:rPr>
        <w:t>1.3</w:t>
      </w:r>
      <w:r w:rsidR="00C931EE">
        <w:rPr>
          <w:rFonts w:cs="SBL Hebrew"/>
        </w:rPr>
        <w:t>.</w:t>
      </w:r>
      <w:r w:rsidRPr="00F611BF">
        <w:rPr>
          <w:rFonts w:cs="SBL Hebrew"/>
        </w:rPr>
        <w:t xml:space="preserve"> </w:t>
      </w:r>
      <w:r>
        <w:t>Relative C</w:t>
      </w:r>
      <w:r w:rsidRPr="00F611BF">
        <w:t xml:space="preserve">lauses </w:t>
      </w:r>
      <w:r>
        <w:t>Introduced by</w:t>
      </w:r>
      <w:r w:rsidRPr="00F611BF">
        <w:t xml:space="preserve"> </w:t>
      </w:r>
      <w:r w:rsidRPr="00F611BF">
        <w:rPr>
          <w:rFonts w:cs="SBL Hebrew"/>
          <w:rtl/>
        </w:rPr>
        <w:t>אשר</w:t>
      </w:r>
      <w:r w:rsidRPr="00F611BF">
        <w:rPr>
          <w:rFonts w:cs="SBL Hebrew"/>
        </w:rPr>
        <w:t xml:space="preserve"> </w:t>
      </w:r>
    </w:p>
    <w:p w:rsidR="00343182" w:rsidRDefault="00343182" w:rsidP="00C92A0F">
      <w:pPr>
        <w:pStyle w:val="NAPHText"/>
        <w:bidi w:val="0"/>
      </w:pPr>
    </w:p>
    <w:p w:rsidR="00C92A0F" w:rsidRPr="00C92A0F" w:rsidRDefault="00C92A0F" w:rsidP="00C92A0F">
      <w:pPr>
        <w:pStyle w:val="NAPHText"/>
        <w:bidi w:val="0"/>
        <w:ind w:firstLine="0"/>
        <w:rPr>
          <w:rtl/>
        </w:rPr>
      </w:pPr>
      <w:r w:rsidRPr="00C92A0F">
        <w:t>(7)</w:t>
      </w:r>
    </w:p>
    <w:p w:rsidR="00343182" w:rsidRPr="00C92A0F" w:rsidRDefault="00343182" w:rsidP="00C92A0F">
      <w:pPr>
        <w:pStyle w:val="NAPHText"/>
        <w:ind w:left="360" w:firstLine="0"/>
        <w:rPr>
          <w:rFonts w:ascii="SBL Hebrew" w:hAnsi="SBL Hebrew" w:cs="SBL Hebrew"/>
          <w:rtl/>
        </w:rPr>
      </w:pPr>
      <w:r w:rsidRPr="00C92A0F">
        <w:rPr>
          <w:rFonts w:ascii="SBL Hebrew" w:hAnsi="SBL Hebrew" w:cs="SBL Hebrew"/>
          <w:rtl/>
        </w:rPr>
        <w:t>וכבר זכרו האחרונים מן הרופאים חפיפת החזה ב</w:t>
      </w:r>
      <w:r w:rsidR="00C92A0F">
        <w:rPr>
          <w:rFonts w:ascii="SBL Hebrew" w:hAnsi="SBL Hebrew" w:cs="SBL Hebrew"/>
          <w:rtl/>
        </w:rPr>
        <w:t>עילה הזאת, אשר אתה קובל ממנה</w:t>
      </w:r>
    </w:p>
    <w:p w:rsidR="00C92A0F" w:rsidRDefault="00C92A0F" w:rsidP="006379CB">
      <w:pPr>
        <w:bidi w:val="0"/>
        <w:spacing w:line="360" w:lineRule="exact"/>
        <w:jc w:val="both"/>
        <w:rPr>
          <w:rFonts w:ascii="Gentium" w:hAnsi="Gentium"/>
        </w:rPr>
      </w:pPr>
    </w:p>
    <w:p w:rsidR="00343182" w:rsidRPr="00C92A0F" w:rsidRDefault="00343182" w:rsidP="00C92A0F">
      <w:pPr>
        <w:pStyle w:val="NAPHQuote"/>
        <w:bidi w:val="0"/>
        <w:rPr>
          <w:rtl/>
        </w:rPr>
      </w:pPr>
      <w:r w:rsidRPr="00C92A0F">
        <w:t>[Physicians] in our time have mentioned [the importance of massage] of the chest for this disease about which you complain</w:t>
      </w:r>
      <w:r w:rsidRPr="00C92A0F">
        <w:rPr>
          <w:lang w:eastAsia="en-US"/>
        </w:rPr>
        <w:t xml:space="preserve"> (p. </w:t>
      </w:r>
      <w:r w:rsidR="00C92A0F">
        <w:t>23).</w:t>
      </w:r>
    </w:p>
    <w:p w:rsidR="00343182" w:rsidRPr="00C92A0F" w:rsidRDefault="00343182" w:rsidP="00C92A0F">
      <w:pPr>
        <w:pStyle w:val="NAPHQuote"/>
        <w:bidi w:val="0"/>
      </w:pPr>
      <w:proofErr w:type="spellStart"/>
      <w:proofErr w:type="gramStart"/>
      <w:r w:rsidRPr="00C92A0F">
        <w:rPr>
          <w:i/>
          <w:iCs/>
        </w:rPr>
        <w:t>wa-qad</w:t>
      </w:r>
      <w:proofErr w:type="spellEnd"/>
      <w:proofErr w:type="gramEnd"/>
      <w:r w:rsidRPr="00C92A0F">
        <w:rPr>
          <w:i/>
          <w:iCs/>
        </w:rPr>
        <w:t xml:space="preserve"> </w:t>
      </w:r>
      <w:proofErr w:type="spellStart"/>
      <w:r w:rsidRPr="00C92A0F">
        <w:rPr>
          <w:i/>
          <w:iCs/>
        </w:rPr>
        <w:t>ḏakara</w:t>
      </w:r>
      <w:proofErr w:type="spellEnd"/>
      <w:r w:rsidRPr="00C92A0F">
        <w:rPr>
          <w:i/>
          <w:iCs/>
        </w:rPr>
        <w:t xml:space="preserve"> l-</w:t>
      </w:r>
      <w:proofErr w:type="spellStart"/>
      <w:r w:rsidRPr="00C92A0F">
        <w:rPr>
          <w:i/>
          <w:iCs/>
        </w:rPr>
        <w:t>mutaʼaxirūna</w:t>
      </w:r>
      <w:proofErr w:type="spellEnd"/>
      <w:r w:rsidRPr="00C92A0F">
        <w:rPr>
          <w:i/>
          <w:iCs/>
        </w:rPr>
        <w:t xml:space="preserve"> </w:t>
      </w:r>
      <w:proofErr w:type="spellStart"/>
      <w:r w:rsidRPr="00C92A0F">
        <w:rPr>
          <w:i/>
          <w:iCs/>
        </w:rPr>
        <w:t>dalka</w:t>
      </w:r>
      <w:proofErr w:type="spellEnd"/>
      <w:r w:rsidRPr="00C92A0F">
        <w:rPr>
          <w:i/>
          <w:iCs/>
        </w:rPr>
        <w:t xml:space="preserve"> ṣ-</w:t>
      </w:r>
      <w:proofErr w:type="spellStart"/>
      <w:r w:rsidRPr="00C92A0F">
        <w:rPr>
          <w:i/>
          <w:iCs/>
        </w:rPr>
        <w:t>ṣadri</w:t>
      </w:r>
      <w:proofErr w:type="spellEnd"/>
      <w:r w:rsidRPr="00C92A0F">
        <w:rPr>
          <w:i/>
          <w:iCs/>
        </w:rPr>
        <w:t xml:space="preserve"> </w:t>
      </w:r>
      <w:proofErr w:type="spellStart"/>
      <w:r w:rsidRPr="00C92A0F">
        <w:rPr>
          <w:i/>
          <w:iCs/>
        </w:rPr>
        <w:t>f</w:t>
      </w:r>
      <w:r w:rsidR="00213524">
        <w:rPr>
          <w:i/>
          <w:iCs/>
        </w:rPr>
        <w:t>ī</w:t>
      </w:r>
      <w:proofErr w:type="spellEnd"/>
      <w:r w:rsidRPr="00C92A0F">
        <w:rPr>
          <w:i/>
          <w:iCs/>
        </w:rPr>
        <w:t xml:space="preserve"> </w:t>
      </w:r>
      <w:proofErr w:type="spellStart"/>
      <w:r w:rsidRPr="00C92A0F">
        <w:rPr>
          <w:i/>
          <w:iCs/>
        </w:rPr>
        <w:t>hāḏihi</w:t>
      </w:r>
      <w:proofErr w:type="spellEnd"/>
      <w:r w:rsidRPr="00C92A0F">
        <w:rPr>
          <w:i/>
          <w:iCs/>
        </w:rPr>
        <w:t xml:space="preserve"> l-</w:t>
      </w:r>
      <w:proofErr w:type="spellStart"/>
      <w:r w:rsidRPr="00C92A0F">
        <w:rPr>
          <w:i/>
          <w:iCs/>
        </w:rPr>
        <w:t>ʻillati</w:t>
      </w:r>
      <w:proofErr w:type="spellEnd"/>
      <w:r w:rsidRPr="00C92A0F">
        <w:rPr>
          <w:i/>
          <w:iCs/>
        </w:rPr>
        <w:t xml:space="preserve"> l-</w:t>
      </w:r>
      <w:proofErr w:type="spellStart"/>
      <w:r w:rsidRPr="00C92A0F">
        <w:rPr>
          <w:i/>
          <w:iCs/>
        </w:rPr>
        <w:t>lat</w:t>
      </w:r>
      <w:r w:rsidR="00213524">
        <w:rPr>
          <w:i/>
          <w:iCs/>
        </w:rPr>
        <w:t>ī</w:t>
      </w:r>
      <w:proofErr w:type="spellEnd"/>
      <w:r w:rsidRPr="00C92A0F">
        <w:rPr>
          <w:i/>
          <w:iCs/>
        </w:rPr>
        <w:t xml:space="preserve"> </w:t>
      </w:r>
      <w:proofErr w:type="spellStart"/>
      <w:r w:rsidRPr="00C92A0F">
        <w:rPr>
          <w:i/>
          <w:iCs/>
        </w:rPr>
        <w:t>taškūhā</w:t>
      </w:r>
      <w:proofErr w:type="spellEnd"/>
      <w:r w:rsidRPr="00C92A0F">
        <w:t xml:space="preserve"> (p. 54)</w:t>
      </w:r>
      <w:r w:rsidR="00C92A0F">
        <w:t>.</w:t>
      </w:r>
    </w:p>
    <w:p w:rsidR="00343182" w:rsidRDefault="00343182" w:rsidP="00C92A0F">
      <w:pPr>
        <w:pStyle w:val="NAPHText"/>
        <w:bidi w:val="0"/>
      </w:pPr>
    </w:p>
    <w:p w:rsidR="00C92A0F" w:rsidRPr="00C92A0F" w:rsidRDefault="00C92A0F" w:rsidP="00C92A0F">
      <w:pPr>
        <w:pStyle w:val="NAPHText"/>
        <w:bidi w:val="0"/>
        <w:ind w:firstLine="0"/>
      </w:pPr>
      <w:r w:rsidRPr="00C92A0F">
        <w:t>(8)</w:t>
      </w:r>
    </w:p>
    <w:p w:rsidR="00343182" w:rsidRPr="00C92A0F" w:rsidRDefault="00343182" w:rsidP="00C92A0F">
      <w:pPr>
        <w:pStyle w:val="NAPHText"/>
        <w:rPr>
          <w:rFonts w:ascii="SBL Hebrew" w:hAnsi="SBL Hebrew" w:cs="SBL Hebrew"/>
          <w:rtl/>
        </w:rPr>
      </w:pPr>
      <w:r w:rsidRPr="00C92A0F">
        <w:rPr>
          <w:rFonts w:ascii="SBL Hebrew" w:hAnsi="SBL Hebrew" w:cs="SBL Hebrew"/>
          <w:rtl/>
        </w:rPr>
        <w:t>אף המשקים, אשר הכוונה בהם לבשל ולהקל הרקיקה</w:t>
      </w:r>
    </w:p>
    <w:p w:rsidR="00B97E07" w:rsidRDefault="00B97E07" w:rsidP="00C92A0F">
      <w:pPr>
        <w:pStyle w:val="NAPHQuote"/>
        <w:bidi w:val="0"/>
      </w:pPr>
    </w:p>
    <w:p w:rsidR="00343182" w:rsidRPr="00C92A0F" w:rsidRDefault="00343182" w:rsidP="00B97E07">
      <w:pPr>
        <w:pStyle w:val="NAPHQuote"/>
        <w:bidi w:val="0"/>
        <w:rPr>
          <w:rtl/>
        </w:rPr>
      </w:pPr>
      <w:r w:rsidRPr="00C92A0F">
        <w:t xml:space="preserve">Decoctions with which one wishes to </w:t>
      </w:r>
      <w:proofErr w:type="spellStart"/>
      <w:r w:rsidRPr="00C92A0F">
        <w:t>coct</w:t>
      </w:r>
      <w:proofErr w:type="spellEnd"/>
      <w:r w:rsidRPr="00C92A0F">
        <w:t xml:space="preserve"> [the superfluities] and to ease expectoration</w:t>
      </w:r>
      <w:r w:rsidRPr="00C92A0F">
        <w:rPr>
          <w:rtl/>
        </w:rPr>
        <w:t xml:space="preserve"> </w:t>
      </w:r>
      <w:r w:rsidRPr="00C92A0F">
        <w:t>(p. 27).</w:t>
      </w:r>
    </w:p>
    <w:p w:rsidR="00343182" w:rsidRPr="00C92A0F" w:rsidRDefault="00343182" w:rsidP="00C92A0F">
      <w:pPr>
        <w:pStyle w:val="NAPHQuote"/>
        <w:bidi w:val="0"/>
      </w:pPr>
      <w:proofErr w:type="spellStart"/>
      <w:proofErr w:type="gramStart"/>
      <w:r w:rsidRPr="00C92A0F">
        <w:rPr>
          <w:i/>
          <w:iCs/>
        </w:rPr>
        <w:t>faʼammā</w:t>
      </w:r>
      <w:proofErr w:type="spellEnd"/>
      <w:proofErr w:type="gramEnd"/>
      <w:r w:rsidRPr="00C92A0F">
        <w:rPr>
          <w:i/>
          <w:iCs/>
        </w:rPr>
        <w:t xml:space="preserve"> l-</w:t>
      </w:r>
      <w:proofErr w:type="spellStart"/>
      <w:r w:rsidRPr="00C92A0F">
        <w:rPr>
          <w:i/>
          <w:iCs/>
        </w:rPr>
        <w:t>muġliyātu</w:t>
      </w:r>
      <w:proofErr w:type="spellEnd"/>
      <w:r w:rsidRPr="00C92A0F">
        <w:rPr>
          <w:i/>
          <w:iCs/>
        </w:rPr>
        <w:t xml:space="preserve"> l-</w:t>
      </w:r>
      <w:proofErr w:type="spellStart"/>
      <w:r w:rsidRPr="00C92A0F">
        <w:rPr>
          <w:i/>
          <w:iCs/>
        </w:rPr>
        <w:t>lat</w:t>
      </w:r>
      <w:r w:rsidR="00213524">
        <w:rPr>
          <w:i/>
          <w:iCs/>
        </w:rPr>
        <w:t>ī</w:t>
      </w:r>
      <w:proofErr w:type="spellEnd"/>
      <w:r w:rsidRPr="00C92A0F">
        <w:rPr>
          <w:i/>
          <w:iCs/>
        </w:rPr>
        <w:t xml:space="preserve"> l-</w:t>
      </w:r>
      <w:proofErr w:type="spellStart"/>
      <w:r w:rsidRPr="00C92A0F">
        <w:rPr>
          <w:i/>
          <w:iCs/>
        </w:rPr>
        <w:t>murādu</w:t>
      </w:r>
      <w:proofErr w:type="spellEnd"/>
      <w:r w:rsidRPr="00C92A0F">
        <w:rPr>
          <w:i/>
          <w:iCs/>
        </w:rPr>
        <w:t xml:space="preserve"> </w:t>
      </w:r>
      <w:proofErr w:type="spellStart"/>
      <w:r w:rsidRPr="00C92A0F">
        <w:rPr>
          <w:i/>
          <w:iCs/>
        </w:rPr>
        <w:t>bihā</w:t>
      </w:r>
      <w:proofErr w:type="spellEnd"/>
      <w:r w:rsidRPr="00C92A0F">
        <w:rPr>
          <w:i/>
          <w:iCs/>
        </w:rPr>
        <w:t xml:space="preserve"> l-</w:t>
      </w:r>
      <w:proofErr w:type="spellStart"/>
      <w:r w:rsidRPr="00C92A0F">
        <w:rPr>
          <w:i/>
          <w:iCs/>
        </w:rPr>
        <w:t>ʼinḍāǧu</w:t>
      </w:r>
      <w:proofErr w:type="spellEnd"/>
      <w:r w:rsidRPr="00C92A0F">
        <w:rPr>
          <w:i/>
          <w:iCs/>
        </w:rPr>
        <w:t xml:space="preserve"> </w:t>
      </w:r>
      <w:proofErr w:type="spellStart"/>
      <w:r w:rsidRPr="00C92A0F">
        <w:rPr>
          <w:i/>
          <w:iCs/>
        </w:rPr>
        <w:t>wa-tash</w:t>
      </w:r>
      <w:r w:rsidR="00213524">
        <w:rPr>
          <w:i/>
          <w:iCs/>
        </w:rPr>
        <w:t>ī</w:t>
      </w:r>
      <w:r w:rsidRPr="00C92A0F">
        <w:rPr>
          <w:i/>
          <w:iCs/>
        </w:rPr>
        <w:t>lu</w:t>
      </w:r>
      <w:proofErr w:type="spellEnd"/>
      <w:r w:rsidRPr="00C92A0F">
        <w:rPr>
          <w:i/>
          <w:iCs/>
        </w:rPr>
        <w:t xml:space="preserve"> n-</w:t>
      </w:r>
      <w:proofErr w:type="spellStart"/>
      <w:r w:rsidRPr="00C92A0F">
        <w:rPr>
          <w:i/>
          <w:iCs/>
        </w:rPr>
        <w:t>nafṯi</w:t>
      </w:r>
      <w:proofErr w:type="spellEnd"/>
      <w:r w:rsidRPr="00C92A0F">
        <w:t xml:space="preserve"> (p. 65). </w:t>
      </w:r>
    </w:p>
    <w:p w:rsidR="00343182" w:rsidRPr="00F611BF" w:rsidRDefault="00343182" w:rsidP="00C92A0F">
      <w:pPr>
        <w:pStyle w:val="NAPHText"/>
        <w:bidi w:val="0"/>
      </w:pPr>
    </w:p>
    <w:p w:rsidR="00343182" w:rsidRDefault="00343182" w:rsidP="00C931EE">
      <w:pPr>
        <w:pStyle w:val="2"/>
        <w:bidi w:val="0"/>
        <w:rPr>
          <w:rFonts w:cs="SBL Hebrew"/>
        </w:rPr>
      </w:pPr>
      <w:r>
        <w:rPr>
          <w:rFonts w:cs="SBL Hebrew"/>
        </w:rPr>
        <w:t>2.</w:t>
      </w:r>
      <w:r w:rsidRPr="00F611BF">
        <w:rPr>
          <w:rFonts w:cs="SBL Hebrew"/>
        </w:rPr>
        <w:t>2.</w:t>
      </w:r>
      <w:r>
        <w:rPr>
          <w:rFonts w:cs="SBL Hebrew"/>
        </w:rPr>
        <w:t xml:space="preserve"> </w:t>
      </w:r>
      <w:proofErr w:type="spellStart"/>
      <w:r>
        <w:rPr>
          <w:rFonts w:cs="SBL Hebrew"/>
        </w:rPr>
        <w:t>A</w:t>
      </w:r>
      <w:r>
        <w:t>syndetic</w:t>
      </w:r>
      <w:proofErr w:type="spellEnd"/>
      <w:r>
        <w:t xml:space="preserve"> Relative Clauses F</w:t>
      </w:r>
      <w:r w:rsidRPr="00F611BF">
        <w:t xml:space="preserve">ollowing a </w:t>
      </w:r>
      <w:r>
        <w:rPr>
          <w:lang w:val="en-GB"/>
        </w:rPr>
        <w:t>Definite A</w:t>
      </w:r>
      <w:r w:rsidRPr="00F611BF">
        <w:rPr>
          <w:lang w:val="en-GB"/>
        </w:rPr>
        <w:t>ntecedent</w:t>
      </w:r>
      <w:r w:rsidRPr="00F611BF">
        <w:rPr>
          <w:rFonts w:cs="SBL Hebrew"/>
        </w:rPr>
        <w:t xml:space="preserve"> </w:t>
      </w:r>
    </w:p>
    <w:p w:rsidR="00C931EE" w:rsidRPr="00C931EE" w:rsidRDefault="00C931EE" w:rsidP="00C931EE">
      <w:pPr>
        <w:pStyle w:val="NAPHText"/>
        <w:bidi w:val="0"/>
      </w:pPr>
    </w:p>
    <w:p w:rsidR="00E34C3D" w:rsidRDefault="00343182" w:rsidP="00E34C3D">
      <w:pPr>
        <w:pStyle w:val="NAPHText"/>
        <w:bidi w:val="0"/>
      </w:pPr>
      <w:r w:rsidRPr="00E34C3D">
        <w:t xml:space="preserve">In the Bible, an </w:t>
      </w:r>
      <w:proofErr w:type="spellStart"/>
      <w:r w:rsidRPr="00E34C3D">
        <w:t>asyndetic</w:t>
      </w:r>
      <w:proofErr w:type="spellEnd"/>
      <w:r w:rsidRPr="00E34C3D">
        <w:t xml:space="preserve"> relative clause may accompany either an indefinite antecedent</w:t>
      </w:r>
      <w:r w:rsidR="00E34C3D">
        <w:t>:</w:t>
      </w:r>
      <w:r w:rsidRPr="00E34C3D">
        <w:t xml:space="preserve"> </w:t>
      </w:r>
    </w:p>
    <w:p w:rsidR="00E34C3D" w:rsidRDefault="00E34C3D" w:rsidP="00E34C3D">
      <w:pPr>
        <w:pStyle w:val="NAPHText"/>
        <w:bidi w:val="0"/>
      </w:pPr>
    </w:p>
    <w:p w:rsidR="00E34C3D" w:rsidRDefault="00E34C3D" w:rsidP="00E34C3D">
      <w:pPr>
        <w:pStyle w:val="NAPHText"/>
        <w:bidi w:val="0"/>
        <w:ind w:hanging="90"/>
      </w:pPr>
      <w:r w:rsidRPr="00E34C3D">
        <w:rPr>
          <w:lang w:eastAsia="en-US"/>
        </w:rPr>
        <w:t>Gen 24:22</w:t>
      </w:r>
    </w:p>
    <w:p w:rsidR="00E34C3D" w:rsidRPr="00E34C3D" w:rsidRDefault="00343182" w:rsidP="00E34C3D">
      <w:pPr>
        <w:pStyle w:val="NAPHText"/>
        <w:ind w:left="360" w:firstLine="0"/>
        <w:rPr>
          <w:rFonts w:ascii="SBL Hebrew" w:hAnsi="SBL Hebrew" w:cs="SBL Hebrew"/>
        </w:rPr>
      </w:pPr>
      <w:r w:rsidRPr="00E34C3D">
        <w:rPr>
          <w:rFonts w:ascii="SBL Hebrew" w:hAnsi="SBL Hebrew" w:cs="SBL Hebrew"/>
          <w:rtl/>
        </w:rPr>
        <w:t xml:space="preserve">וַיְהִי כַּאֲשֶׁר כִּלּוּ הַגְּמַלִּים לִשְׁתּוֹת וַיִּקַּח הָאִישׁ נֶזֶם זָהָב בֶּקַע מִשְׁקָלוֹ וּשְׁנֵי צְמִידִים עַל יָדֶיהָ עֲשָׂרָה זָבָב מִשְׁקָלָם </w:t>
      </w:r>
      <w:r w:rsidRPr="00E34C3D">
        <w:rPr>
          <w:rFonts w:ascii="SBL Hebrew" w:hAnsi="SBL Hebrew" w:cs="SBL Hebrew"/>
        </w:rPr>
        <w:t xml:space="preserve"> </w:t>
      </w:r>
    </w:p>
    <w:p w:rsidR="00E34C3D" w:rsidRDefault="00E34C3D" w:rsidP="00E34C3D">
      <w:pPr>
        <w:pStyle w:val="NAPHQuote"/>
        <w:bidi w:val="0"/>
        <w:rPr>
          <w:lang w:eastAsia="en-US"/>
        </w:rPr>
      </w:pPr>
    </w:p>
    <w:p w:rsidR="00E34C3D" w:rsidRDefault="00343182" w:rsidP="00E34C3D">
      <w:pPr>
        <w:pStyle w:val="NAPHQuote"/>
        <w:bidi w:val="0"/>
      </w:pPr>
      <w:r w:rsidRPr="00E34C3D">
        <w:rPr>
          <w:lang w:eastAsia="en-US"/>
        </w:rPr>
        <w:t>And it came to pass, when the camels were through drinking, the man took golden earrings weighing a shekel and two bracelets for her wris</w:t>
      </w:r>
      <w:r w:rsidR="00E34C3D">
        <w:rPr>
          <w:lang w:eastAsia="en-US"/>
        </w:rPr>
        <w:t>ts weighing ten shekels of gold,</w:t>
      </w:r>
    </w:p>
    <w:p w:rsidR="00E34C3D" w:rsidRDefault="00E34C3D" w:rsidP="00E34C3D">
      <w:pPr>
        <w:pStyle w:val="NAPHText"/>
        <w:bidi w:val="0"/>
      </w:pPr>
    </w:p>
    <w:p w:rsidR="00343182" w:rsidRDefault="00343182" w:rsidP="00E34C3D">
      <w:pPr>
        <w:pStyle w:val="NAPHText"/>
        <w:bidi w:val="0"/>
        <w:ind w:firstLine="0"/>
      </w:pPr>
      <w:proofErr w:type="gramStart"/>
      <w:r w:rsidRPr="00E34C3D">
        <w:t>or</w:t>
      </w:r>
      <w:proofErr w:type="gramEnd"/>
      <w:r w:rsidRPr="00E34C3D">
        <w:t xml:space="preserve"> a definite antecedent.</w:t>
      </w:r>
      <w:r w:rsidRPr="00E34C3D">
        <w:rPr>
          <w:rStyle w:val="a9"/>
        </w:rPr>
        <w:footnoteReference w:id="13"/>
      </w:r>
      <w:r w:rsidRPr="00E34C3D">
        <w:t xml:space="preserve"> There are hardly any </w:t>
      </w:r>
      <w:proofErr w:type="spellStart"/>
      <w:r w:rsidRPr="00E34C3D">
        <w:t>asyndetic</w:t>
      </w:r>
      <w:proofErr w:type="spellEnd"/>
      <w:r w:rsidRPr="00E34C3D">
        <w:t xml:space="preserve"> relative clauses in the Mishnah, apparently due to the influence of Aramaic, although some exceptions to this do exist.</w:t>
      </w:r>
      <w:r w:rsidRPr="00E34C3D">
        <w:rPr>
          <w:rStyle w:val="a9"/>
        </w:rPr>
        <w:footnoteReference w:id="14"/>
      </w:r>
      <w:r w:rsidRPr="00E34C3D">
        <w:t xml:space="preserve"> In the Arabicized</w:t>
      </w:r>
      <w:r w:rsidR="000C16F7">
        <w:t xml:space="preserve"> Hebrew of the medieval period, </w:t>
      </w:r>
      <w:proofErr w:type="spellStart"/>
      <w:r w:rsidRPr="00E34C3D">
        <w:t>asyndetic</w:t>
      </w:r>
      <w:proofErr w:type="spellEnd"/>
      <w:r w:rsidRPr="00E34C3D">
        <w:t xml:space="preserve"> relative clauses after indefinite antecedents were increasingly used in translated text</w:t>
      </w:r>
      <w:r w:rsidR="00B46DE3">
        <w:t>s</w:t>
      </w:r>
      <w:r w:rsidRPr="00E34C3D">
        <w:t xml:space="preserve">, following the pattern of the </w:t>
      </w:r>
      <w:proofErr w:type="spellStart"/>
      <w:r w:rsidRPr="00E34C3D">
        <w:rPr>
          <w:i/>
          <w:iCs/>
        </w:rPr>
        <w:t>tsifah</w:t>
      </w:r>
      <w:proofErr w:type="spellEnd"/>
      <w:r w:rsidRPr="00E34C3D">
        <w:t xml:space="preserve"> clauses in Arabic.</w:t>
      </w:r>
      <w:r w:rsidRPr="00E34C3D">
        <w:rPr>
          <w:rStyle w:val="a9"/>
        </w:rPr>
        <w:footnoteReference w:id="15"/>
      </w:r>
      <w:r w:rsidRPr="00E34C3D">
        <w:t xml:space="preserve"> The Hebrew translation of the </w:t>
      </w:r>
      <w:r w:rsidRPr="00E34C3D">
        <w:rPr>
          <w:i/>
          <w:iCs/>
        </w:rPr>
        <w:t>Treatise on Asthma</w:t>
      </w:r>
      <w:r w:rsidRPr="00E34C3D">
        <w:t xml:space="preserve"> is </w:t>
      </w:r>
      <w:r w:rsidRPr="00E34C3D">
        <w:lastRenderedPageBreak/>
        <w:t xml:space="preserve">representative of this trend. Because there are </w:t>
      </w:r>
      <w:proofErr w:type="spellStart"/>
      <w:r w:rsidRPr="00E34C3D">
        <w:t>asyndetic</w:t>
      </w:r>
      <w:proofErr w:type="spellEnd"/>
      <w:r w:rsidRPr="00E34C3D">
        <w:t xml:space="preserve"> relative clauses after indefinite antecedents in the Hebrew sources, in our case, we can call the Arabic influence indirect since the translator chose to use the syntactic structure attested in the target language because this structure was compatible with that of the source language and consequently preferable to the alternatives. Its use can consequently be seen as a part of a deliberate strategy on the translator’s part. For example:</w:t>
      </w:r>
    </w:p>
    <w:p w:rsidR="00E34C3D" w:rsidRPr="00E34C3D" w:rsidRDefault="00E34C3D" w:rsidP="00E34C3D">
      <w:pPr>
        <w:pStyle w:val="NAPHText"/>
        <w:bidi w:val="0"/>
        <w:ind w:firstLine="0"/>
      </w:pPr>
    </w:p>
    <w:p w:rsidR="00343182" w:rsidRPr="00E34C3D" w:rsidRDefault="00E34C3D" w:rsidP="00E34C3D">
      <w:pPr>
        <w:pStyle w:val="NAPHText"/>
        <w:bidi w:val="0"/>
        <w:ind w:firstLine="0"/>
      </w:pPr>
      <w:r w:rsidRPr="00E34C3D">
        <w:t>(9)</w:t>
      </w:r>
    </w:p>
    <w:p w:rsidR="00343182" w:rsidRPr="003E13DB" w:rsidRDefault="00343182" w:rsidP="003E13DB">
      <w:pPr>
        <w:pStyle w:val="NAPHText"/>
        <w:rPr>
          <w:rFonts w:ascii="SBL Hebrew" w:hAnsi="SBL Hebrew" w:cs="SBL Hebrew"/>
          <w:rtl/>
        </w:rPr>
      </w:pPr>
      <w:r w:rsidRPr="003E13DB">
        <w:rPr>
          <w:rFonts w:ascii="SBL Hebrew" w:hAnsi="SBL Hebrew" w:cs="SBL Hebrew"/>
          <w:rtl/>
        </w:rPr>
        <w:t xml:space="preserve">ואלה כולם טעויות מביאות לכל במה שהזהרנו </w:t>
      </w:r>
    </w:p>
    <w:p w:rsidR="003E13DB" w:rsidRDefault="003E13DB" w:rsidP="006379CB">
      <w:pPr>
        <w:bidi w:val="0"/>
        <w:spacing w:line="360" w:lineRule="exact"/>
        <w:jc w:val="both"/>
        <w:rPr>
          <w:rFonts w:ascii="Gentium" w:hAnsi="Gentium"/>
        </w:rPr>
      </w:pPr>
    </w:p>
    <w:p w:rsidR="00343182" w:rsidRPr="003E13DB" w:rsidRDefault="00343182" w:rsidP="003E13DB">
      <w:pPr>
        <w:pStyle w:val="NAPHQuote"/>
        <w:bidi w:val="0"/>
        <w:rPr>
          <w:rtl/>
        </w:rPr>
      </w:pPr>
      <w:r w:rsidRPr="003E13DB">
        <w:t>All these are errors which cause those eventualities against which we have warned (p. 40</w:t>
      </w:r>
      <w:r w:rsidR="003E13DB">
        <w:t>).</w:t>
      </w:r>
    </w:p>
    <w:p w:rsidR="00343182" w:rsidRPr="003E13DB" w:rsidRDefault="00343182" w:rsidP="003E13DB">
      <w:pPr>
        <w:pStyle w:val="NAPHQuote"/>
        <w:bidi w:val="0"/>
      </w:pPr>
      <w:proofErr w:type="spellStart"/>
      <w:proofErr w:type="gramStart"/>
      <w:r w:rsidRPr="003E13DB">
        <w:rPr>
          <w:i/>
          <w:iCs/>
        </w:rPr>
        <w:t>wa-hāḏihi</w:t>
      </w:r>
      <w:proofErr w:type="spellEnd"/>
      <w:proofErr w:type="gramEnd"/>
      <w:r w:rsidRPr="003E13DB">
        <w:rPr>
          <w:i/>
          <w:iCs/>
        </w:rPr>
        <w:t xml:space="preserve"> </w:t>
      </w:r>
      <w:proofErr w:type="spellStart"/>
      <w:r w:rsidRPr="003E13DB">
        <w:rPr>
          <w:i/>
          <w:iCs/>
        </w:rPr>
        <w:t>kulluhā</w:t>
      </w:r>
      <w:proofErr w:type="spellEnd"/>
      <w:r w:rsidRPr="003E13DB">
        <w:rPr>
          <w:i/>
          <w:iCs/>
        </w:rPr>
        <w:t xml:space="preserve"> </w:t>
      </w:r>
      <w:proofErr w:type="spellStart"/>
      <w:r w:rsidRPr="003E13DB">
        <w:rPr>
          <w:i/>
          <w:iCs/>
        </w:rPr>
        <w:t>ʼaġāl</w:t>
      </w:r>
      <w:r w:rsidR="00213524">
        <w:rPr>
          <w:i/>
          <w:iCs/>
        </w:rPr>
        <w:t>ī</w:t>
      </w:r>
      <w:r w:rsidRPr="003E13DB">
        <w:rPr>
          <w:i/>
          <w:iCs/>
        </w:rPr>
        <w:t>ṭun</w:t>
      </w:r>
      <w:proofErr w:type="spellEnd"/>
      <w:r w:rsidRPr="003E13DB">
        <w:rPr>
          <w:i/>
          <w:iCs/>
        </w:rPr>
        <w:t xml:space="preserve"> </w:t>
      </w:r>
      <w:proofErr w:type="spellStart"/>
      <w:r w:rsidRPr="003E13DB">
        <w:rPr>
          <w:i/>
          <w:iCs/>
        </w:rPr>
        <w:t>tadʻū</w:t>
      </w:r>
      <w:proofErr w:type="spellEnd"/>
      <w:r w:rsidRPr="003E13DB">
        <w:rPr>
          <w:i/>
          <w:iCs/>
        </w:rPr>
        <w:t xml:space="preserve"> li-</w:t>
      </w:r>
      <w:proofErr w:type="spellStart"/>
      <w:r w:rsidRPr="003E13DB">
        <w:rPr>
          <w:i/>
          <w:iCs/>
        </w:rPr>
        <w:t>lwuqūʻi</w:t>
      </w:r>
      <w:proofErr w:type="spellEnd"/>
      <w:r w:rsidRPr="003E13DB">
        <w:rPr>
          <w:i/>
          <w:iCs/>
        </w:rPr>
        <w:t xml:space="preserve"> </w:t>
      </w:r>
      <w:proofErr w:type="spellStart"/>
      <w:r w:rsidRPr="003E13DB">
        <w:rPr>
          <w:i/>
          <w:iCs/>
        </w:rPr>
        <w:t>f</w:t>
      </w:r>
      <w:r w:rsidR="00213524">
        <w:rPr>
          <w:i/>
          <w:iCs/>
        </w:rPr>
        <w:t>ī</w:t>
      </w:r>
      <w:proofErr w:type="spellEnd"/>
      <w:r w:rsidRPr="003E13DB">
        <w:rPr>
          <w:i/>
          <w:iCs/>
        </w:rPr>
        <w:t xml:space="preserve"> </w:t>
      </w:r>
      <w:proofErr w:type="spellStart"/>
      <w:r w:rsidRPr="003E13DB">
        <w:rPr>
          <w:i/>
          <w:iCs/>
        </w:rPr>
        <w:t>mā</w:t>
      </w:r>
      <w:proofErr w:type="spellEnd"/>
      <w:r w:rsidRPr="003E13DB">
        <w:rPr>
          <w:i/>
          <w:iCs/>
        </w:rPr>
        <w:t xml:space="preserve"> </w:t>
      </w:r>
      <w:proofErr w:type="spellStart"/>
      <w:r w:rsidRPr="003E13DB">
        <w:rPr>
          <w:i/>
          <w:iCs/>
        </w:rPr>
        <w:t>ḥaḏḏarnā</w:t>
      </w:r>
      <w:proofErr w:type="spellEnd"/>
      <w:r w:rsidRPr="003E13DB">
        <w:rPr>
          <w:i/>
          <w:iCs/>
        </w:rPr>
        <w:t xml:space="preserve"> </w:t>
      </w:r>
      <w:proofErr w:type="spellStart"/>
      <w:r w:rsidRPr="003E13DB">
        <w:rPr>
          <w:i/>
          <w:iCs/>
        </w:rPr>
        <w:t>minhu</w:t>
      </w:r>
      <w:proofErr w:type="spellEnd"/>
      <w:r w:rsidRPr="003E13DB">
        <w:t xml:space="preserve"> (p. 96).</w:t>
      </w:r>
    </w:p>
    <w:p w:rsidR="00343182" w:rsidRDefault="00343182" w:rsidP="003E13DB">
      <w:pPr>
        <w:pStyle w:val="NAPHText"/>
        <w:bidi w:val="0"/>
      </w:pPr>
    </w:p>
    <w:p w:rsidR="003E13DB" w:rsidRPr="003E13DB" w:rsidRDefault="003E13DB" w:rsidP="003E13DB">
      <w:pPr>
        <w:pStyle w:val="NAPHText"/>
        <w:bidi w:val="0"/>
        <w:ind w:firstLine="0"/>
        <w:rPr>
          <w:rtl/>
        </w:rPr>
      </w:pPr>
      <w:r w:rsidRPr="003E13DB">
        <w:t>(10)</w:t>
      </w:r>
    </w:p>
    <w:p w:rsidR="00343182" w:rsidRPr="003E13DB" w:rsidRDefault="00343182" w:rsidP="003E13DB">
      <w:pPr>
        <w:pStyle w:val="NAPHText"/>
        <w:rPr>
          <w:rFonts w:ascii="SBL Hebrew" w:hAnsi="SBL Hebrew" w:cs="SBL Hebrew"/>
          <w:rtl/>
        </w:rPr>
      </w:pPr>
      <w:r w:rsidRPr="003E13DB">
        <w:rPr>
          <w:rFonts w:ascii="SBL Hebrew" w:hAnsi="SBL Hebrew" w:cs="SBL Hebrew"/>
          <w:rtl/>
        </w:rPr>
        <w:t xml:space="preserve">מה שיקראהו הרופאים רוחות, הם אווירים קלים, נמצאים בגוף החי </w:t>
      </w:r>
    </w:p>
    <w:p w:rsidR="003E13DB" w:rsidRPr="003E13DB" w:rsidRDefault="003E13DB" w:rsidP="003E13DB">
      <w:pPr>
        <w:pStyle w:val="NAPHQuote"/>
        <w:bidi w:val="0"/>
      </w:pPr>
    </w:p>
    <w:p w:rsidR="00343182" w:rsidRPr="003E13DB" w:rsidRDefault="00343182" w:rsidP="003E13DB">
      <w:pPr>
        <w:pStyle w:val="NAPHQuote"/>
        <w:bidi w:val="0"/>
        <w:rPr>
          <w:rtl/>
        </w:rPr>
      </w:pPr>
      <w:r w:rsidRPr="003E13DB">
        <w:t xml:space="preserve">This is so because what the physicians call </w:t>
      </w:r>
      <w:r w:rsidR="003E13DB">
        <w:t>“</w:t>
      </w:r>
      <w:proofErr w:type="spellStart"/>
      <w:r w:rsidRPr="003E13DB">
        <w:t>pneumas</w:t>
      </w:r>
      <w:proofErr w:type="spellEnd"/>
      <w:r w:rsidR="003E13DB">
        <w:t>”</w:t>
      </w:r>
      <w:r w:rsidRPr="003E13DB">
        <w:t xml:space="preserve"> are fine vapors found in the bodies of living creatures (p. </w:t>
      </w:r>
      <w:r w:rsidR="003E13DB">
        <w:t>33).</w:t>
      </w:r>
    </w:p>
    <w:p w:rsidR="00343182" w:rsidRPr="003E13DB" w:rsidRDefault="00343182" w:rsidP="003E13DB">
      <w:pPr>
        <w:pStyle w:val="NAPHQuote"/>
        <w:bidi w:val="0"/>
        <w:rPr>
          <w:rtl/>
        </w:rPr>
      </w:pPr>
      <w:proofErr w:type="spellStart"/>
      <w:proofErr w:type="gramStart"/>
      <w:r w:rsidRPr="003E13DB">
        <w:rPr>
          <w:i/>
          <w:iCs/>
        </w:rPr>
        <w:t>wa-ḏālika</w:t>
      </w:r>
      <w:proofErr w:type="spellEnd"/>
      <w:proofErr w:type="gramEnd"/>
      <w:r w:rsidRPr="003E13DB">
        <w:rPr>
          <w:i/>
          <w:iCs/>
        </w:rPr>
        <w:t xml:space="preserve"> </w:t>
      </w:r>
      <w:proofErr w:type="spellStart"/>
      <w:r w:rsidRPr="003E13DB">
        <w:rPr>
          <w:i/>
          <w:iCs/>
        </w:rPr>
        <w:t>ʼanna</w:t>
      </w:r>
      <w:proofErr w:type="spellEnd"/>
      <w:r w:rsidRPr="003E13DB">
        <w:rPr>
          <w:i/>
          <w:iCs/>
        </w:rPr>
        <w:t xml:space="preserve"> </w:t>
      </w:r>
      <w:proofErr w:type="spellStart"/>
      <w:r w:rsidRPr="003E13DB">
        <w:rPr>
          <w:i/>
          <w:iCs/>
        </w:rPr>
        <w:t>hāḏihi</w:t>
      </w:r>
      <w:proofErr w:type="spellEnd"/>
      <w:r w:rsidRPr="003E13DB">
        <w:rPr>
          <w:i/>
          <w:iCs/>
        </w:rPr>
        <w:t xml:space="preserve"> l-</w:t>
      </w:r>
      <w:proofErr w:type="spellStart"/>
      <w:r w:rsidRPr="003E13DB">
        <w:rPr>
          <w:i/>
          <w:iCs/>
        </w:rPr>
        <w:t>lat</w:t>
      </w:r>
      <w:r w:rsidR="00213524">
        <w:rPr>
          <w:i/>
          <w:iCs/>
        </w:rPr>
        <w:t>ī</w:t>
      </w:r>
      <w:proofErr w:type="spellEnd"/>
      <w:r w:rsidRPr="003E13DB">
        <w:rPr>
          <w:i/>
          <w:iCs/>
        </w:rPr>
        <w:t xml:space="preserve"> </w:t>
      </w:r>
      <w:proofErr w:type="spellStart"/>
      <w:r w:rsidRPr="003E13DB">
        <w:rPr>
          <w:i/>
          <w:iCs/>
        </w:rPr>
        <w:t>yusamm</w:t>
      </w:r>
      <w:r w:rsidR="00213524">
        <w:rPr>
          <w:i/>
          <w:iCs/>
        </w:rPr>
        <w:t>ī</w:t>
      </w:r>
      <w:r w:rsidRPr="003E13DB">
        <w:rPr>
          <w:i/>
          <w:iCs/>
        </w:rPr>
        <w:t>hā</w:t>
      </w:r>
      <w:proofErr w:type="spellEnd"/>
      <w:r w:rsidRPr="003E13DB">
        <w:rPr>
          <w:i/>
          <w:iCs/>
        </w:rPr>
        <w:t xml:space="preserve"> l-</w:t>
      </w:r>
      <w:proofErr w:type="spellStart"/>
      <w:r w:rsidRPr="003E13DB">
        <w:rPr>
          <w:i/>
          <w:iCs/>
        </w:rPr>
        <w:t>ʼaṭibbāʼu</w:t>
      </w:r>
      <w:proofErr w:type="spellEnd"/>
      <w:r w:rsidRPr="003E13DB">
        <w:rPr>
          <w:i/>
          <w:iCs/>
        </w:rPr>
        <w:t xml:space="preserve"> </w:t>
      </w:r>
      <w:proofErr w:type="spellStart"/>
      <w:r w:rsidRPr="003E13DB">
        <w:rPr>
          <w:i/>
          <w:iCs/>
        </w:rPr>
        <w:t>ʼarwāḥan</w:t>
      </w:r>
      <w:proofErr w:type="spellEnd"/>
      <w:r w:rsidRPr="003E13DB">
        <w:rPr>
          <w:i/>
          <w:iCs/>
        </w:rPr>
        <w:t xml:space="preserve"> </w:t>
      </w:r>
      <w:proofErr w:type="spellStart"/>
      <w:r w:rsidRPr="003E13DB">
        <w:rPr>
          <w:i/>
          <w:iCs/>
        </w:rPr>
        <w:t>hiya</w:t>
      </w:r>
      <w:proofErr w:type="spellEnd"/>
      <w:r w:rsidRPr="003E13DB">
        <w:rPr>
          <w:i/>
          <w:iCs/>
        </w:rPr>
        <w:t xml:space="preserve"> </w:t>
      </w:r>
      <w:proofErr w:type="spellStart"/>
      <w:r w:rsidRPr="003E13DB">
        <w:rPr>
          <w:i/>
          <w:iCs/>
        </w:rPr>
        <w:t>ʼabxiratun</w:t>
      </w:r>
      <w:proofErr w:type="spellEnd"/>
      <w:r w:rsidRPr="003E13DB">
        <w:rPr>
          <w:i/>
          <w:iCs/>
        </w:rPr>
        <w:t xml:space="preserve"> </w:t>
      </w:r>
      <w:proofErr w:type="spellStart"/>
      <w:r w:rsidRPr="003E13DB">
        <w:rPr>
          <w:i/>
          <w:iCs/>
        </w:rPr>
        <w:t>mawǧūdatun</w:t>
      </w:r>
      <w:proofErr w:type="spellEnd"/>
      <w:r w:rsidRPr="003E13DB">
        <w:rPr>
          <w:i/>
          <w:iCs/>
        </w:rPr>
        <w:t xml:space="preserve"> </w:t>
      </w:r>
      <w:proofErr w:type="spellStart"/>
      <w:r w:rsidRPr="003E13DB">
        <w:rPr>
          <w:i/>
          <w:iCs/>
        </w:rPr>
        <w:t>f</w:t>
      </w:r>
      <w:r w:rsidR="00213524">
        <w:rPr>
          <w:i/>
          <w:iCs/>
        </w:rPr>
        <w:t>ī</w:t>
      </w:r>
      <w:proofErr w:type="spellEnd"/>
      <w:r w:rsidRPr="003E13DB">
        <w:rPr>
          <w:i/>
          <w:iCs/>
        </w:rPr>
        <w:t xml:space="preserve"> </w:t>
      </w:r>
      <w:proofErr w:type="spellStart"/>
      <w:r w:rsidRPr="003E13DB">
        <w:rPr>
          <w:i/>
          <w:iCs/>
        </w:rPr>
        <w:t>ǧismi</w:t>
      </w:r>
      <w:proofErr w:type="spellEnd"/>
      <w:r w:rsidRPr="003E13DB">
        <w:rPr>
          <w:i/>
          <w:iCs/>
        </w:rPr>
        <w:t xml:space="preserve"> l-</w:t>
      </w:r>
      <w:proofErr w:type="spellStart"/>
      <w:r w:rsidRPr="003E13DB">
        <w:rPr>
          <w:i/>
          <w:iCs/>
        </w:rPr>
        <w:t>ʼinsāni</w:t>
      </w:r>
      <w:proofErr w:type="spellEnd"/>
      <w:r w:rsidRPr="003E13DB">
        <w:t xml:space="preserve"> (p. 80).</w:t>
      </w:r>
    </w:p>
    <w:p w:rsidR="00343182" w:rsidRPr="00F611BF" w:rsidRDefault="00343182" w:rsidP="003E13DB">
      <w:pPr>
        <w:pStyle w:val="NAPHText"/>
        <w:bidi w:val="0"/>
        <w:rPr>
          <w:rtl/>
        </w:rPr>
      </w:pPr>
    </w:p>
    <w:p w:rsidR="00343182" w:rsidRDefault="00343182" w:rsidP="00C931EE">
      <w:pPr>
        <w:pStyle w:val="2"/>
        <w:bidi w:val="0"/>
        <w:ind w:left="540" w:hanging="540"/>
        <w:rPr>
          <w:lang w:val="es-ES"/>
        </w:rPr>
      </w:pPr>
      <w:r>
        <w:t>2.</w:t>
      </w:r>
      <w:r w:rsidRPr="00F611BF">
        <w:t xml:space="preserve">3. </w:t>
      </w:r>
      <w:r>
        <w:rPr>
          <w:lang w:val="es-ES"/>
        </w:rPr>
        <w:t>N</w:t>
      </w:r>
      <w:r w:rsidRPr="00F611BF">
        <w:rPr>
          <w:lang w:val="es-ES"/>
        </w:rPr>
        <w:t>omin</w:t>
      </w:r>
      <w:r>
        <w:rPr>
          <w:lang w:val="es-ES"/>
        </w:rPr>
        <w:t>alized Relative Clauses with</w:t>
      </w:r>
      <w:r w:rsidRPr="00F611BF">
        <w:rPr>
          <w:lang w:val="es-ES"/>
        </w:rPr>
        <w:t xml:space="preserve"> </w:t>
      </w:r>
      <w:r w:rsidRPr="00C931EE">
        <w:rPr>
          <w:rFonts w:ascii="SBL Hebrew" w:hAnsi="SBL Hebrew" w:cs="SBL Hebrew"/>
          <w:rtl/>
        </w:rPr>
        <w:t>מה</w:t>
      </w:r>
      <w:r>
        <w:t xml:space="preserve">, </w:t>
      </w:r>
      <w:r w:rsidRPr="00C931EE">
        <w:rPr>
          <w:rFonts w:ascii="SBL Hebrew" w:hAnsi="SBL Hebrew" w:cs="SBL Hebrew"/>
          <w:rtl/>
        </w:rPr>
        <w:t>מי</w:t>
      </w:r>
      <w:r>
        <w:t xml:space="preserve">, and </w:t>
      </w:r>
      <w:r w:rsidRPr="00C931EE">
        <w:rPr>
          <w:rFonts w:ascii="SBL Hebrew" w:hAnsi="SBL Hebrew" w:cs="SBL Hebrew"/>
          <w:rtl/>
        </w:rPr>
        <w:t>ממה</w:t>
      </w:r>
      <w:r>
        <w:t xml:space="preserve"> </w:t>
      </w:r>
      <w:r>
        <w:rPr>
          <w:lang w:val="es-ES"/>
        </w:rPr>
        <w:t>as Relative Particles</w:t>
      </w:r>
    </w:p>
    <w:p w:rsidR="00C931EE" w:rsidRPr="00C931EE" w:rsidRDefault="00C931EE" w:rsidP="00C931EE">
      <w:pPr>
        <w:pStyle w:val="NAPHText"/>
        <w:bidi w:val="0"/>
        <w:rPr>
          <w:lang w:val="es-ES"/>
        </w:rPr>
      </w:pPr>
    </w:p>
    <w:p w:rsidR="00343182" w:rsidRDefault="00343182" w:rsidP="003E13DB">
      <w:pPr>
        <w:pStyle w:val="NAPHText"/>
        <w:bidi w:val="0"/>
      </w:pPr>
      <w:r>
        <w:t xml:space="preserve">In Arabic, </w:t>
      </w:r>
      <w:r w:rsidRPr="00F611BF">
        <w:t>the relative pronouns</w:t>
      </w:r>
      <w:r>
        <w:t xml:space="preserve"> </w:t>
      </w:r>
      <w:proofErr w:type="spellStart"/>
      <w:r>
        <w:rPr>
          <w:i/>
          <w:iCs/>
        </w:rPr>
        <w:t>mā</w:t>
      </w:r>
      <w:proofErr w:type="spellEnd"/>
      <w:r>
        <w:t xml:space="preserve">, </w:t>
      </w:r>
      <w:proofErr w:type="spellStart"/>
      <w:r>
        <w:rPr>
          <w:i/>
          <w:iCs/>
        </w:rPr>
        <w:t>mān</w:t>
      </w:r>
      <w:proofErr w:type="spellEnd"/>
      <w:r>
        <w:t xml:space="preserve">, and </w:t>
      </w:r>
      <w:proofErr w:type="spellStart"/>
      <w:r>
        <w:rPr>
          <w:i/>
          <w:iCs/>
        </w:rPr>
        <w:t>mimā</w:t>
      </w:r>
      <w:proofErr w:type="spellEnd"/>
      <w:r>
        <w:t xml:space="preserve"> </w:t>
      </w:r>
      <w:r w:rsidRPr="00F611BF">
        <w:t>are found in nomi</w:t>
      </w:r>
      <w:r w:rsidR="002E5DAA">
        <w:softHyphen/>
      </w:r>
      <w:r w:rsidRPr="00F611BF">
        <w:t>nalized relative clauses. Nominalized relative clauses containing the nominal pronouns</w:t>
      </w:r>
      <w:r>
        <w:t xml:space="preserve"> </w:t>
      </w:r>
      <w:r>
        <w:rPr>
          <w:i/>
          <w:iCs/>
        </w:rPr>
        <w:t xml:space="preserve">ma </w:t>
      </w:r>
      <w:r>
        <w:t xml:space="preserve">and </w:t>
      </w:r>
      <w:r>
        <w:rPr>
          <w:i/>
          <w:iCs/>
        </w:rPr>
        <w:t>man</w:t>
      </w:r>
      <w:r w:rsidRPr="00F611BF">
        <w:t xml:space="preserve"> can function as</w:t>
      </w:r>
      <w:r>
        <w:t xml:space="preserve"> </w:t>
      </w:r>
      <w:proofErr w:type="spellStart"/>
      <w:r>
        <w:rPr>
          <w:i/>
          <w:iCs/>
        </w:rPr>
        <w:t>tsilah</w:t>
      </w:r>
      <w:proofErr w:type="spellEnd"/>
      <w:r w:rsidRPr="00F611BF">
        <w:t xml:space="preserve"> or</w:t>
      </w:r>
      <w:r>
        <w:t xml:space="preserve"> </w:t>
      </w:r>
      <w:proofErr w:type="spellStart"/>
      <w:r>
        <w:rPr>
          <w:i/>
          <w:iCs/>
        </w:rPr>
        <w:t>tsifah</w:t>
      </w:r>
      <w:proofErr w:type="spellEnd"/>
      <w:r w:rsidRPr="00F611BF">
        <w:t xml:space="preserve"> clauses. When these pronouns are part of an indefinite antecedent, the relative clause is known as a nominalized</w:t>
      </w:r>
      <w:r>
        <w:t xml:space="preserve"> </w:t>
      </w:r>
      <w:proofErr w:type="spellStart"/>
      <w:r>
        <w:rPr>
          <w:i/>
          <w:iCs/>
        </w:rPr>
        <w:t>tsifah</w:t>
      </w:r>
      <w:proofErr w:type="spellEnd"/>
      <w:r w:rsidRPr="00F611BF">
        <w:t xml:space="preserve"> clause. For example:</w:t>
      </w:r>
    </w:p>
    <w:p w:rsidR="00343182" w:rsidRPr="00F611BF" w:rsidRDefault="00343182" w:rsidP="003E13DB">
      <w:pPr>
        <w:pStyle w:val="NAPHText"/>
        <w:bidi w:val="0"/>
      </w:pPr>
    </w:p>
    <w:p w:rsidR="00343182" w:rsidRPr="003E13DB" w:rsidRDefault="00343182" w:rsidP="003E13DB">
      <w:pPr>
        <w:pStyle w:val="NAPHText"/>
        <w:bidi w:val="0"/>
        <w:rPr>
          <w:i/>
          <w:iCs/>
          <w:rtl/>
          <w:lang w:eastAsia="ar-SA"/>
        </w:rPr>
      </w:pPr>
      <w:proofErr w:type="spellStart"/>
      <w:r w:rsidRPr="003E13DB">
        <w:rPr>
          <w:i/>
          <w:iCs/>
          <w:lang w:eastAsia="ar-SA"/>
        </w:rPr>
        <w:t>ʼakaltu</w:t>
      </w:r>
      <w:proofErr w:type="spellEnd"/>
      <w:r w:rsidRPr="003E13DB">
        <w:rPr>
          <w:i/>
          <w:iCs/>
          <w:lang w:eastAsia="ar-SA"/>
        </w:rPr>
        <w:t xml:space="preserve"> </w:t>
      </w:r>
      <w:proofErr w:type="spellStart"/>
      <w:r w:rsidRPr="003E13DB">
        <w:rPr>
          <w:i/>
          <w:iCs/>
          <w:lang w:eastAsia="ar-SA"/>
        </w:rPr>
        <w:t>mā</w:t>
      </w:r>
      <w:proofErr w:type="spellEnd"/>
      <w:r w:rsidRPr="003E13DB">
        <w:rPr>
          <w:i/>
          <w:iCs/>
        </w:rPr>
        <w:t xml:space="preserve"> </w:t>
      </w:r>
      <w:proofErr w:type="spellStart"/>
      <w:r w:rsidRPr="003E13DB">
        <w:rPr>
          <w:i/>
          <w:iCs/>
        </w:rPr>
        <w:t>ʼuḥibuhu</w:t>
      </w:r>
      <w:proofErr w:type="spellEnd"/>
      <w:r w:rsidRPr="003E13DB">
        <w:rPr>
          <w:i/>
          <w:iCs/>
          <w:rtl/>
          <w:lang w:eastAsia="ar-SA"/>
        </w:rPr>
        <w:t xml:space="preserve"> </w:t>
      </w:r>
    </w:p>
    <w:p w:rsidR="003E13DB" w:rsidRDefault="003E13DB" w:rsidP="003E13DB">
      <w:pPr>
        <w:pStyle w:val="NAPHQuote"/>
        <w:bidi w:val="0"/>
      </w:pPr>
    </w:p>
    <w:p w:rsidR="00343182" w:rsidRPr="00FD37D3" w:rsidRDefault="00343182" w:rsidP="003E13DB">
      <w:pPr>
        <w:pStyle w:val="NAPHQuote"/>
        <w:bidi w:val="0"/>
      </w:pPr>
      <w:r w:rsidRPr="00F611BF">
        <w:t>I ate what I like</w:t>
      </w:r>
      <w:r w:rsidRPr="00F611BF">
        <w:rPr>
          <w:lang w:eastAsia="en-US"/>
        </w:rPr>
        <w:t>.</w:t>
      </w:r>
    </w:p>
    <w:p w:rsidR="003E13DB" w:rsidRDefault="003E13DB" w:rsidP="003E13DB">
      <w:pPr>
        <w:pStyle w:val="NAPHText"/>
        <w:bidi w:val="0"/>
        <w:ind w:firstLine="0"/>
      </w:pPr>
    </w:p>
    <w:p w:rsidR="00343182" w:rsidRDefault="00343182" w:rsidP="003E13DB">
      <w:pPr>
        <w:pStyle w:val="NAPHText"/>
        <w:bidi w:val="0"/>
        <w:ind w:firstLine="0"/>
      </w:pPr>
      <w:r>
        <w:t>Original:</w:t>
      </w:r>
    </w:p>
    <w:p w:rsidR="003E13DB" w:rsidRPr="00F611BF" w:rsidRDefault="003E13DB" w:rsidP="003E13DB">
      <w:pPr>
        <w:pStyle w:val="NAPHText"/>
        <w:bidi w:val="0"/>
        <w:ind w:firstLine="0"/>
        <w:rPr>
          <w:rtl/>
        </w:rPr>
      </w:pPr>
    </w:p>
    <w:p w:rsidR="00343182" w:rsidRPr="003E13DB" w:rsidRDefault="00343182" w:rsidP="003E13DB">
      <w:pPr>
        <w:pStyle w:val="NAPHText"/>
        <w:bidi w:val="0"/>
        <w:rPr>
          <w:i/>
          <w:iCs/>
          <w:lang w:eastAsia="en-US"/>
        </w:rPr>
      </w:pPr>
      <w:proofErr w:type="spellStart"/>
      <w:r w:rsidRPr="003E13DB">
        <w:rPr>
          <w:i/>
          <w:iCs/>
        </w:rPr>
        <w:t>ʼakaltu</w:t>
      </w:r>
      <w:proofErr w:type="spellEnd"/>
      <w:r w:rsidRPr="003E13DB">
        <w:rPr>
          <w:i/>
          <w:iCs/>
        </w:rPr>
        <w:t xml:space="preserve"> </w:t>
      </w:r>
      <w:proofErr w:type="spellStart"/>
      <w:r w:rsidRPr="003E13DB">
        <w:rPr>
          <w:i/>
          <w:iCs/>
        </w:rPr>
        <w:t>ṭaʻāman</w:t>
      </w:r>
      <w:proofErr w:type="spellEnd"/>
      <w:r w:rsidRPr="003E13DB">
        <w:rPr>
          <w:i/>
          <w:iCs/>
        </w:rPr>
        <w:t xml:space="preserve"> </w:t>
      </w:r>
      <w:proofErr w:type="spellStart"/>
      <w:r w:rsidRPr="003E13DB">
        <w:rPr>
          <w:i/>
          <w:iCs/>
        </w:rPr>
        <w:t>ʼuḥibuhu</w:t>
      </w:r>
      <w:proofErr w:type="spellEnd"/>
    </w:p>
    <w:p w:rsidR="003E13DB" w:rsidRDefault="003E13DB" w:rsidP="003E13DB">
      <w:pPr>
        <w:pStyle w:val="NAPHQuote"/>
        <w:bidi w:val="0"/>
      </w:pPr>
    </w:p>
    <w:p w:rsidR="00343182" w:rsidRDefault="00343182" w:rsidP="003E13DB">
      <w:pPr>
        <w:pStyle w:val="NAPHQuote"/>
        <w:bidi w:val="0"/>
      </w:pPr>
      <w:r w:rsidRPr="00F611BF">
        <w:t xml:space="preserve">I ate food that I like. </w:t>
      </w:r>
    </w:p>
    <w:p w:rsidR="00343182" w:rsidRDefault="00343182" w:rsidP="003E13DB">
      <w:pPr>
        <w:pStyle w:val="NAPHText"/>
        <w:bidi w:val="0"/>
      </w:pPr>
      <w:r w:rsidRPr="00F611BF">
        <w:lastRenderedPageBreak/>
        <w:t xml:space="preserve">When the pronouns belong to a definite antecedent, the relative clause is known as a nominalized </w:t>
      </w:r>
      <w:proofErr w:type="spellStart"/>
      <w:r>
        <w:rPr>
          <w:i/>
          <w:iCs/>
        </w:rPr>
        <w:t>tsilah</w:t>
      </w:r>
      <w:proofErr w:type="spellEnd"/>
      <w:r w:rsidRPr="00F611BF">
        <w:t xml:space="preserve"> </w:t>
      </w:r>
      <w:r>
        <w:t>clause, f</w:t>
      </w:r>
      <w:r w:rsidRPr="00F611BF">
        <w:t>or example:</w:t>
      </w:r>
    </w:p>
    <w:p w:rsidR="00343182" w:rsidRPr="00F611BF" w:rsidRDefault="00343182" w:rsidP="003E13DB">
      <w:pPr>
        <w:pStyle w:val="NAPHText"/>
        <w:bidi w:val="0"/>
      </w:pPr>
    </w:p>
    <w:p w:rsidR="00343182" w:rsidRDefault="00343182" w:rsidP="003E13DB">
      <w:pPr>
        <w:pStyle w:val="NAPHText"/>
        <w:bidi w:val="0"/>
        <w:rPr>
          <w:rFonts w:cs="SBL Hebrew"/>
          <w:i/>
          <w:iCs/>
        </w:rPr>
      </w:pPr>
      <w:proofErr w:type="spellStart"/>
      <w:r w:rsidRPr="001273D4">
        <w:rPr>
          <w:rFonts w:cs="SBL Hebrew"/>
          <w:i/>
          <w:iCs/>
          <w:lang w:eastAsia="ar-SA"/>
        </w:rPr>
        <w:t>ʼakaltu</w:t>
      </w:r>
      <w:proofErr w:type="spellEnd"/>
      <w:r w:rsidRPr="001273D4">
        <w:rPr>
          <w:rFonts w:cs="SBL Hebrew"/>
          <w:i/>
          <w:iCs/>
          <w:lang w:eastAsia="ar-SA"/>
        </w:rPr>
        <w:t xml:space="preserve"> </w:t>
      </w:r>
      <w:proofErr w:type="spellStart"/>
      <w:r w:rsidRPr="001273D4">
        <w:rPr>
          <w:rFonts w:cs="SBL Hebrew"/>
          <w:i/>
          <w:iCs/>
          <w:lang w:eastAsia="ar-SA"/>
        </w:rPr>
        <w:t>mā</w:t>
      </w:r>
      <w:proofErr w:type="spellEnd"/>
      <w:r w:rsidRPr="001273D4">
        <w:rPr>
          <w:rFonts w:cs="SBL Hebrew"/>
          <w:i/>
          <w:iCs/>
        </w:rPr>
        <w:t xml:space="preserve"> </w:t>
      </w:r>
      <w:proofErr w:type="spellStart"/>
      <w:r w:rsidRPr="001273D4">
        <w:rPr>
          <w:rFonts w:cs="SBL Hebrew"/>
          <w:i/>
          <w:iCs/>
        </w:rPr>
        <w:t>ʼuḥibuhu</w:t>
      </w:r>
      <w:proofErr w:type="spellEnd"/>
      <w:r w:rsidRPr="001273D4">
        <w:rPr>
          <w:rFonts w:cs="SBL Hebrew"/>
          <w:i/>
          <w:iCs/>
          <w:rtl/>
        </w:rPr>
        <w:t xml:space="preserve"> </w:t>
      </w:r>
    </w:p>
    <w:p w:rsidR="003E13DB" w:rsidRPr="001273D4" w:rsidRDefault="003E13DB" w:rsidP="003E13DB">
      <w:pPr>
        <w:pStyle w:val="NAPHQuote"/>
        <w:bidi w:val="0"/>
        <w:rPr>
          <w:rtl/>
        </w:rPr>
      </w:pPr>
    </w:p>
    <w:p w:rsidR="00343182" w:rsidRPr="00F611BF" w:rsidRDefault="00343182" w:rsidP="003E13DB">
      <w:pPr>
        <w:pStyle w:val="NAPHQuote"/>
        <w:bidi w:val="0"/>
        <w:rPr>
          <w:rFonts w:ascii="Gentium" w:hAnsi="Gentium"/>
          <w:rtl/>
        </w:rPr>
      </w:pPr>
      <w:r w:rsidRPr="00F611BF">
        <w:rPr>
          <w:rFonts w:ascii="Gentium" w:hAnsi="Gentium"/>
        </w:rPr>
        <w:t>I ate what I like</w:t>
      </w:r>
      <w:r w:rsidRPr="00F611BF">
        <w:rPr>
          <w:rFonts w:ascii="Gentium" w:hAnsi="Gentium"/>
          <w:lang w:eastAsia="en-US"/>
        </w:rPr>
        <w:t xml:space="preserve">. </w:t>
      </w:r>
    </w:p>
    <w:p w:rsidR="003E13DB" w:rsidRDefault="003E13DB" w:rsidP="003E13DB">
      <w:pPr>
        <w:pStyle w:val="NAPHText"/>
        <w:bidi w:val="0"/>
        <w:ind w:firstLine="0"/>
      </w:pPr>
    </w:p>
    <w:p w:rsidR="00343182" w:rsidRDefault="00343182" w:rsidP="003E13DB">
      <w:pPr>
        <w:pStyle w:val="NAPHText"/>
        <w:bidi w:val="0"/>
        <w:ind w:firstLine="0"/>
      </w:pPr>
      <w:r>
        <w:t>Original:</w:t>
      </w:r>
    </w:p>
    <w:p w:rsidR="003E13DB" w:rsidRDefault="003E13DB" w:rsidP="003E13DB">
      <w:pPr>
        <w:pStyle w:val="NAPHText"/>
        <w:bidi w:val="0"/>
        <w:ind w:firstLine="0"/>
      </w:pPr>
    </w:p>
    <w:p w:rsidR="00343182" w:rsidRPr="003E13DB" w:rsidRDefault="00343182" w:rsidP="003E13DB">
      <w:pPr>
        <w:pStyle w:val="NAPHText"/>
        <w:bidi w:val="0"/>
        <w:rPr>
          <w:i/>
          <w:iCs/>
          <w:rtl/>
        </w:rPr>
      </w:pPr>
      <w:proofErr w:type="spellStart"/>
      <w:r w:rsidRPr="003E13DB">
        <w:rPr>
          <w:i/>
          <w:iCs/>
          <w:lang w:eastAsia="ar-SA"/>
        </w:rPr>
        <w:t>ʼakaltu</w:t>
      </w:r>
      <w:proofErr w:type="spellEnd"/>
      <w:r w:rsidRPr="003E13DB">
        <w:rPr>
          <w:i/>
          <w:iCs/>
          <w:lang w:eastAsia="ar-SA"/>
        </w:rPr>
        <w:t xml:space="preserve"> ṭ-</w:t>
      </w:r>
      <w:proofErr w:type="spellStart"/>
      <w:r w:rsidRPr="003E13DB">
        <w:rPr>
          <w:i/>
          <w:iCs/>
          <w:lang w:eastAsia="ar-SA"/>
        </w:rPr>
        <w:t>ṭaʻāma</w:t>
      </w:r>
      <w:proofErr w:type="spellEnd"/>
      <w:r w:rsidRPr="003E13DB">
        <w:rPr>
          <w:i/>
          <w:iCs/>
          <w:lang w:eastAsia="ar-SA"/>
        </w:rPr>
        <w:t xml:space="preserve"> l-</w:t>
      </w:r>
      <w:proofErr w:type="spellStart"/>
      <w:r w:rsidRPr="003E13DB">
        <w:rPr>
          <w:i/>
          <w:iCs/>
          <w:lang w:eastAsia="ar-SA"/>
        </w:rPr>
        <w:t>laḏ</w:t>
      </w:r>
      <w:r w:rsidR="00213524">
        <w:rPr>
          <w:i/>
          <w:iCs/>
          <w:lang w:eastAsia="ar-SA"/>
        </w:rPr>
        <w:t>ī</w:t>
      </w:r>
      <w:proofErr w:type="spellEnd"/>
      <w:r w:rsidRPr="003E13DB">
        <w:rPr>
          <w:i/>
          <w:iCs/>
        </w:rPr>
        <w:t xml:space="preserve"> </w:t>
      </w:r>
      <w:proofErr w:type="spellStart"/>
      <w:r w:rsidRPr="003E13DB">
        <w:rPr>
          <w:i/>
          <w:iCs/>
        </w:rPr>
        <w:t>ʼuḥibuhu</w:t>
      </w:r>
      <w:proofErr w:type="spellEnd"/>
    </w:p>
    <w:p w:rsidR="003E13DB" w:rsidRDefault="003E13DB" w:rsidP="003E13DB">
      <w:pPr>
        <w:pStyle w:val="NAPHQuote"/>
        <w:bidi w:val="0"/>
      </w:pPr>
    </w:p>
    <w:p w:rsidR="00343182" w:rsidRDefault="00343182" w:rsidP="003E13DB">
      <w:pPr>
        <w:pStyle w:val="NAPHQuote"/>
        <w:bidi w:val="0"/>
        <w:rPr>
          <w:rFonts w:cs="SBL Hebrew"/>
        </w:rPr>
      </w:pPr>
      <w:r w:rsidRPr="00F611BF">
        <w:t>I ate the food that I like</w:t>
      </w:r>
      <w:r>
        <w:rPr>
          <w:lang w:eastAsia="en-US"/>
        </w:rPr>
        <w:t>.</w:t>
      </w:r>
      <w:r w:rsidRPr="00F611BF">
        <w:rPr>
          <w:rFonts w:cs="SBL Hebrew"/>
        </w:rPr>
        <w:t xml:space="preserve"> </w:t>
      </w:r>
    </w:p>
    <w:p w:rsidR="00343182" w:rsidRPr="00FD37D3" w:rsidRDefault="00343182" w:rsidP="003E13DB">
      <w:pPr>
        <w:pStyle w:val="NAPHText"/>
        <w:bidi w:val="0"/>
      </w:pPr>
    </w:p>
    <w:p w:rsidR="003E13DB" w:rsidRDefault="00343182" w:rsidP="00B46DE3">
      <w:pPr>
        <w:pStyle w:val="NAPHText"/>
        <w:bidi w:val="0"/>
        <w:rPr>
          <w:rFonts w:cs="SBL Hebrew"/>
        </w:rPr>
      </w:pPr>
      <w:r w:rsidRPr="00F611BF">
        <w:t>The word</w:t>
      </w:r>
      <w:r w:rsidRPr="00F611BF">
        <w:rPr>
          <w:rFonts w:cs="SBL Hebrew"/>
        </w:rPr>
        <w:t xml:space="preserve"> </w:t>
      </w:r>
      <w:r w:rsidRPr="00F611BF">
        <w:rPr>
          <w:rFonts w:cs="SBL Hebrew"/>
          <w:rtl/>
        </w:rPr>
        <w:t>מי</w:t>
      </w:r>
      <w:r w:rsidRPr="00F611BF">
        <w:t xml:space="preserve"> functions only rarely as a relative particle in the Bible</w:t>
      </w:r>
      <w:r w:rsidRPr="00F611BF">
        <w:rPr>
          <w:rFonts w:cs="SBL Hebrew"/>
        </w:rPr>
        <w:t>:</w:t>
      </w:r>
    </w:p>
    <w:p w:rsidR="003E13DB" w:rsidRDefault="003E13DB" w:rsidP="003E13DB">
      <w:pPr>
        <w:pStyle w:val="NAPHText"/>
        <w:bidi w:val="0"/>
        <w:rPr>
          <w:rFonts w:cs="SBL Hebrew"/>
        </w:rPr>
      </w:pPr>
    </w:p>
    <w:p w:rsidR="00D43319" w:rsidRDefault="00D43319" w:rsidP="00D43319">
      <w:pPr>
        <w:pStyle w:val="NAPHText"/>
        <w:bidi w:val="0"/>
        <w:ind w:firstLine="0"/>
        <w:rPr>
          <w:rFonts w:cs="SBL Hebrew"/>
        </w:rPr>
      </w:pPr>
      <w:r>
        <w:t>2 Sam 20:11</w:t>
      </w:r>
    </w:p>
    <w:p w:rsidR="003E13DB" w:rsidRDefault="00B46DE3" w:rsidP="00D43319">
      <w:pPr>
        <w:pStyle w:val="NAPHText"/>
        <w:rPr>
          <w:rFonts w:cs="SBL Hebrew"/>
        </w:rPr>
      </w:pPr>
      <w:r w:rsidRPr="00F611BF">
        <w:rPr>
          <w:rFonts w:cs="SBL Hebrew"/>
          <w:rtl/>
        </w:rPr>
        <w:t xml:space="preserve">וְאִישׁ </w:t>
      </w:r>
      <w:r w:rsidR="003E13DB" w:rsidRPr="00F611BF">
        <w:rPr>
          <w:rFonts w:cs="SBL Hebrew"/>
          <w:rtl/>
        </w:rPr>
        <w:t>עָמַד עָלָיו מִנַּעֲרֵי יוֹאָב וַיֹּאמֶר מִי אֲשֶׁר חָפֵץ בְּיוֹאָב וּמִי אֲשֶׁר לְדָוִד אַחֲרֵי יוֹאָב</w:t>
      </w:r>
    </w:p>
    <w:p w:rsidR="003E13DB" w:rsidRDefault="003E13DB" w:rsidP="00D43319">
      <w:pPr>
        <w:pStyle w:val="NAPHQuote"/>
        <w:bidi w:val="0"/>
      </w:pPr>
    </w:p>
    <w:p w:rsidR="00D43319" w:rsidRDefault="00343182" w:rsidP="00D43319">
      <w:pPr>
        <w:pStyle w:val="NAPHQuote"/>
        <w:bidi w:val="0"/>
      </w:pPr>
      <w:r w:rsidRPr="00F611BF">
        <w:t>And one of Joab</w:t>
      </w:r>
      <w:r w:rsidR="00D43319">
        <w:t>’</w:t>
      </w:r>
      <w:r w:rsidRPr="00F611BF">
        <w:t xml:space="preserve">s men went and stood by </w:t>
      </w:r>
      <w:proofErr w:type="spellStart"/>
      <w:r w:rsidRPr="00F611BF">
        <w:t>Amasa</w:t>
      </w:r>
      <w:proofErr w:type="spellEnd"/>
      <w:r w:rsidRPr="00F611BF">
        <w:t xml:space="preserve">, and said to those who passed by, </w:t>
      </w:r>
      <w:r w:rsidR="00D43319">
        <w:t>“</w:t>
      </w:r>
      <w:r w:rsidRPr="00F611BF">
        <w:t>To whom do you belong? Are you of the men of David who are after Joab?</w:t>
      </w:r>
      <w:r w:rsidR="00D43319">
        <w:t>”</w:t>
      </w:r>
    </w:p>
    <w:p w:rsidR="00D43319" w:rsidRDefault="00D43319" w:rsidP="00D43319">
      <w:pPr>
        <w:pStyle w:val="NAPHText"/>
        <w:bidi w:val="0"/>
      </w:pPr>
    </w:p>
    <w:p w:rsidR="00343182" w:rsidRPr="00A92DBA" w:rsidRDefault="00343182" w:rsidP="00615578">
      <w:pPr>
        <w:pStyle w:val="NAPHText"/>
        <w:bidi w:val="0"/>
        <w:ind w:firstLine="0"/>
        <w:rPr>
          <w:rFonts w:cs="SBL Hebrew"/>
        </w:rPr>
      </w:pPr>
      <w:r w:rsidRPr="00F611BF">
        <w:t>In the Mishnah, the words</w:t>
      </w:r>
      <w:r>
        <w:t xml:space="preserve"> </w:t>
      </w:r>
      <w:r w:rsidRPr="00F611BF">
        <w:rPr>
          <w:rFonts w:cs="SBL Hebrew"/>
          <w:rtl/>
        </w:rPr>
        <w:t>מה</w:t>
      </w:r>
      <w:r>
        <w:rPr>
          <w:rFonts w:cs="SBL Hebrew"/>
        </w:rPr>
        <w:t xml:space="preserve">, </w:t>
      </w:r>
      <w:r w:rsidRPr="00F611BF">
        <w:rPr>
          <w:rFonts w:cs="SBL Hebrew"/>
          <w:rtl/>
        </w:rPr>
        <w:t>מי</w:t>
      </w:r>
      <w:r>
        <w:rPr>
          <w:rFonts w:cs="SBL Hebrew"/>
        </w:rPr>
        <w:t xml:space="preserve">, and </w:t>
      </w:r>
      <w:r w:rsidRPr="00F611BF">
        <w:rPr>
          <w:rFonts w:cs="SBL Hebrew"/>
          <w:rtl/>
        </w:rPr>
        <w:t>ממה</w:t>
      </w:r>
      <w:r>
        <w:rPr>
          <w:rFonts w:cs="SBL Hebrew"/>
        </w:rPr>
        <w:t xml:space="preserve"> are used</w:t>
      </w:r>
      <w:r w:rsidRPr="00F611BF">
        <w:rPr>
          <w:rFonts w:cs="SBL Hebrew"/>
        </w:rPr>
        <w:t xml:space="preserve"> as </w:t>
      </w:r>
      <w:r>
        <w:t xml:space="preserve">relative pronouns, </w:t>
      </w:r>
      <w:r w:rsidR="00D43319">
        <w:t>for example,</w:t>
      </w:r>
      <w:r>
        <w:t xml:space="preserve"> </w:t>
      </w:r>
      <w:r w:rsidRPr="00F611BF">
        <w:rPr>
          <w:rFonts w:cs="SBL Hebrew"/>
          <w:rtl/>
        </w:rPr>
        <w:t xml:space="preserve"> כָּל מַה שֶיִּרְצוּ</w:t>
      </w:r>
      <w:r w:rsidRPr="00F611BF">
        <w:rPr>
          <w:lang w:eastAsia="en-US"/>
        </w:rPr>
        <w:t>‘</w:t>
      </w:r>
      <w:r w:rsidRPr="00F611BF">
        <w:rPr>
          <w:rFonts w:cs="SBL Hebrew"/>
        </w:rPr>
        <w:t>for anything they would decide</w:t>
      </w:r>
      <w:r>
        <w:rPr>
          <w:lang w:eastAsia="en-US"/>
        </w:rPr>
        <w:t>’ (</w:t>
      </w:r>
      <w:proofErr w:type="spellStart"/>
      <w:r>
        <w:rPr>
          <w:i/>
          <w:iCs/>
          <w:lang w:eastAsia="en-US"/>
        </w:rPr>
        <w:t>Git</w:t>
      </w:r>
      <w:proofErr w:type="spellEnd"/>
      <w:r>
        <w:rPr>
          <w:i/>
          <w:iCs/>
          <w:lang w:eastAsia="en-US"/>
        </w:rPr>
        <w:t>.</w:t>
      </w:r>
      <w:r w:rsidRPr="00F611BF">
        <w:rPr>
          <w:lang w:eastAsia="en-US"/>
        </w:rPr>
        <w:t xml:space="preserve"> 4:3)</w:t>
      </w:r>
      <w:r>
        <w:rPr>
          <w:lang w:eastAsia="en-US"/>
        </w:rPr>
        <w:t xml:space="preserve">; </w:t>
      </w:r>
      <w:r w:rsidRPr="00F611BF">
        <w:rPr>
          <w:rFonts w:cs="SBL Hebrew"/>
          <w:rtl/>
        </w:rPr>
        <w:t>מִי שֶהָיוּ שְתֵּי כִּיתֵּי עֵדִים מְעִידוֹת אוֹתוֹ</w:t>
      </w:r>
      <w:r>
        <w:rPr>
          <w:rFonts w:cs="SBL Hebrew"/>
        </w:rPr>
        <w:t xml:space="preserve"> </w:t>
      </w:r>
      <w:r w:rsidRPr="00F611BF">
        <w:rPr>
          <w:lang w:eastAsia="en-US"/>
        </w:rPr>
        <w:t>‘</w:t>
      </w:r>
      <w:r w:rsidRPr="00F611BF">
        <w:t>If two groups of witnesses were testifying against a person</w:t>
      </w:r>
      <w:r w:rsidRPr="00F611BF">
        <w:rPr>
          <w:lang w:eastAsia="en-US"/>
        </w:rPr>
        <w:t>’</w:t>
      </w:r>
      <w:r>
        <w:t xml:space="preserve"> (</w:t>
      </w:r>
      <w:proofErr w:type="spellStart"/>
      <w:r>
        <w:rPr>
          <w:i/>
          <w:iCs/>
        </w:rPr>
        <w:t>Naz</w:t>
      </w:r>
      <w:proofErr w:type="spellEnd"/>
      <w:r>
        <w:rPr>
          <w:i/>
          <w:iCs/>
        </w:rPr>
        <w:t xml:space="preserve">. </w:t>
      </w:r>
      <w:r>
        <w:t xml:space="preserve">3:7); </w:t>
      </w:r>
      <w:r w:rsidR="00037262" w:rsidRPr="00615578">
        <w:rPr>
          <w:rFonts w:ascii="SBL Hebrew" w:hAnsi="SBL Hebrew" w:cs="SBL Hebrew"/>
          <w:rtl/>
        </w:rPr>
        <w:t>קְצָרוּהָ לִסְטִים חֶצְיָהּ וְקָצַר הוּא חֶצְיָהּ – נוֹתֵן פֵּאָה מִמַּה שֶׁקָּצַר</w:t>
      </w:r>
      <w:r w:rsidRPr="00615578">
        <w:t xml:space="preserve"> </w:t>
      </w:r>
      <w:r w:rsidR="00615578">
        <w:t>‘</w:t>
      </w:r>
      <w:r w:rsidR="00615578" w:rsidRPr="00615578">
        <w:t xml:space="preserve">If robbers reaped half of it and he </w:t>
      </w:r>
      <w:r w:rsidR="00B46DE3">
        <w:t xml:space="preserve">reaped half of it – he gives </w:t>
      </w:r>
      <w:proofErr w:type="spellStart"/>
      <w:r w:rsidR="00B46DE3" w:rsidRPr="00B46DE3">
        <w:rPr>
          <w:i/>
          <w:iCs/>
        </w:rPr>
        <w:t>pe</w:t>
      </w:r>
      <w:r w:rsidR="00615578" w:rsidRPr="00B46DE3">
        <w:rPr>
          <w:i/>
          <w:iCs/>
        </w:rPr>
        <w:t>ah</w:t>
      </w:r>
      <w:proofErr w:type="spellEnd"/>
      <w:r w:rsidR="00615578">
        <w:t xml:space="preserve"> from what he reaped’</w:t>
      </w:r>
      <w:r w:rsidR="00615578" w:rsidRPr="00615578">
        <w:t xml:space="preserve"> </w:t>
      </w:r>
      <w:r w:rsidRPr="00615578">
        <w:t>(</w:t>
      </w:r>
      <w:proofErr w:type="spellStart"/>
      <w:r w:rsidR="00037262" w:rsidRPr="00615578">
        <w:rPr>
          <w:i/>
          <w:iCs/>
        </w:rPr>
        <w:t>Pe’ah</w:t>
      </w:r>
      <w:proofErr w:type="spellEnd"/>
      <w:r w:rsidR="00037262" w:rsidRPr="00615578">
        <w:t xml:space="preserve"> </w:t>
      </w:r>
      <w:r w:rsidR="00037262">
        <w:t>2</w:t>
      </w:r>
      <w:r w:rsidR="00615578">
        <w:t>:8</w:t>
      </w:r>
      <w:r w:rsidRPr="00037262">
        <w:t xml:space="preserve">). </w:t>
      </w:r>
    </w:p>
    <w:p w:rsidR="00343182" w:rsidRPr="00D43319" w:rsidRDefault="00343182" w:rsidP="00615578">
      <w:pPr>
        <w:pStyle w:val="NAPHText"/>
        <w:bidi w:val="0"/>
      </w:pPr>
      <w:r w:rsidRPr="00615578">
        <w:t xml:space="preserve">The translator of the </w:t>
      </w:r>
      <w:r w:rsidRPr="00615578">
        <w:rPr>
          <w:i/>
          <w:iCs/>
        </w:rPr>
        <w:t xml:space="preserve">Treatise on Asthma </w:t>
      </w:r>
      <w:r w:rsidRPr="00615578">
        <w:t xml:space="preserve">clearly tends to employ nominalized relative clauses with </w:t>
      </w:r>
      <w:r w:rsidRPr="00615578">
        <w:rPr>
          <w:rFonts w:ascii="SBL Hebrew" w:hAnsi="SBL Hebrew" w:cs="SBL Hebrew"/>
          <w:rtl/>
        </w:rPr>
        <w:t>מה</w:t>
      </w:r>
      <w:r w:rsidRPr="00615578">
        <w:t xml:space="preserve">, </w:t>
      </w:r>
      <w:r w:rsidRPr="00615578">
        <w:rPr>
          <w:rFonts w:ascii="SBL Hebrew" w:hAnsi="SBL Hebrew" w:cs="SBL Hebrew"/>
          <w:rtl/>
        </w:rPr>
        <w:t>מי</w:t>
      </w:r>
      <w:r w:rsidRPr="00615578">
        <w:t xml:space="preserve">, and </w:t>
      </w:r>
      <w:r w:rsidRPr="00615578">
        <w:rPr>
          <w:rFonts w:ascii="SBL Hebrew" w:hAnsi="SBL Hebrew" w:cs="SBL Hebrew"/>
          <w:rtl/>
        </w:rPr>
        <w:t>ממה</w:t>
      </w:r>
      <w:r w:rsidRPr="00615578">
        <w:t xml:space="preserve"> as relative particles, in the same way nominalized relative claus</w:t>
      </w:r>
      <w:r w:rsidR="00615578" w:rsidRPr="00615578">
        <w:t>es function in the source where</w:t>
      </w:r>
      <w:r w:rsidRPr="00615578">
        <w:t xml:space="preserve"> </w:t>
      </w:r>
      <w:proofErr w:type="spellStart"/>
      <w:r w:rsidR="00615578" w:rsidRPr="00615578">
        <w:rPr>
          <w:i/>
          <w:iCs/>
        </w:rPr>
        <w:t>mā</w:t>
      </w:r>
      <w:proofErr w:type="spellEnd"/>
      <w:r w:rsidR="00615578" w:rsidRPr="00615578">
        <w:rPr>
          <w:i/>
          <w:iCs/>
        </w:rPr>
        <w:t xml:space="preserve">, man, </w:t>
      </w:r>
      <w:r w:rsidR="00615578" w:rsidRPr="00615578">
        <w:t xml:space="preserve">and </w:t>
      </w:r>
      <w:proofErr w:type="spellStart"/>
      <w:r w:rsidR="00615578" w:rsidRPr="00615578">
        <w:rPr>
          <w:i/>
          <w:iCs/>
        </w:rPr>
        <w:t>mimmā</w:t>
      </w:r>
      <w:proofErr w:type="spellEnd"/>
      <w:r w:rsidR="00615578" w:rsidRPr="00615578">
        <w:rPr>
          <w:i/>
          <w:iCs/>
          <w:lang w:bidi="ar-SA"/>
        </w:rPr>
        <w:t xml:space="preserve"> </w:t>
      </w:r>
      <w:r w:rsidRPr="00615578">
        <w:rPr>
          <w:lang w:bidi="ar-SA"/>
        </w:rPr>
        <w:t>appear as relative particles</w:t>
      </w:r>
      <w:r w:rsidRPr="00615578">
        <w:t xml:space="preserve">. The interpretation, which seems to have been involved in the act of translating the </w:t>
      </w:r>
      <w:r w:rsidRPr="00615578">
        <w:rPr>
          <w:i/>
          <w:iCs/>
        </w:rPr>
        <w:t xml:space="preserve">Treatise on Asthma, </w:t>
      </w:r>
      <w:r w:rsidRPr="00615578">
        <w:t>is apparently a positive transfer, because the translator consciously selected Hebrew syntactic patterns under the influence of the source language</w:t>
      </w:r>
      <w:r w:rsidR="00D43319" w:rsidRPr="00615578">
        <w:t>—</w:t>
      </w:r>
      <w:r w:rsidRPr="00615578">
        <w:t>Arabic. His frequent selection of these patterns is indicative of the preference</w:t>
      </w:r>
      <w:r w:rsidRPr="00D43319">
        <w:t xml:space="preserve"> for syntax that is similar to that of the Arabic original. The influence was indirect, however, because there is precedent in the Hebrew sources for the syntactic patterns that the translator chooses. </w:t>
      </w:r>
    </w:p>
    <w:p w:rsidR="00343182" w:rsidRPr="00F611BF" w:rsidRDefault="00343182" w:rsidP="00D43319">
      <w:pPr>
        <w:pStyle w:val="NAPHText"/>
        <w:bidi w:val="0"/>
      </w:pPr>
    </w:p>
    <w:p w:rsidR="00343182" w:rsidRDefault="00343182" w:rsidP="00C931EE">
      <w:pPr>
        <w:pStyle w:val="3"/>
        <w:bidi w:val="0"/>
      </w:pPr>
      <w:r w:rsidRPr="00F611BF">
        <w:rPr>
          <w:rFonts w:cs="SBL Hebrew"/>
        </w:rPr>
        <w:lastRenderedPageBreak/>
        <w:t>2.3.1</w:t>
      </w:r>
      <w:r w:rsidR="00C931EE">
        <w:rPr>
          <w:rFonts w:cs="SBL Hebrew"/>
        </w:rPr>
        <w:t>.</w:t>
      </w:r>
      <w:r w:rsidRPr="00F611BF">
        <w:rPr>
          <w:rFonts w:cs="SBL Hebrew"/>
        </w:rPr>
        <w:t xml:space="preserve"> </w:t>
      </w:r>
      <w:r>
        <w:t>Relative C</w:t>
      </w:r>
      <w:r w:rsidRPr="00F611BF">
        <w:t>lauses</w:t>
      </w:r>
      <w:r>
        <w:t xml:space="preserve"> with </w:t>
      </w:r>
      <w:r w:rsidR="00C931EE">
        <w:rPr>
          <w:rFonts w:cs="SBL Hebrew"/>
          <w:rtl/>
        </w:rPr>
        <w:t>מי</w:t>
      </w:r>
      <w:r w:rsidRPr="00F611BF">
        <w:rPr>
          <w:rFonts w:cs="SBL Hebrew"/>
        </w:rPr>
        <w:t xml:space="preserve"> </w:t>
      </w:r>
      <w:r>
        <w:t>as a Relative Partic</w:t>
      </w:r>
      <w:r w:rsidRPr="00F611BF">
        <w:t>le</w:t>
      </w:r>
    </w:p>
    <w:p w:rsidR="00343182" w:rsidRDefault="00343182" w:rsidP="00D43319">
      <w:pPr>
        <w:pStyle w:val="NAPHText"/>
        <w:bidi w:val="0"/>
      </w:pPr>
    </w:p>
    <w:p w:rsidR="00D43319" w:rsidRPr="00D43319" w:rsidRDefault="00D43319" w:rsidP="00D43319">
      <w:pPr>
        <w:pStyle w:val="NAPHText"/>
        <w:bidi w:val="0"/>
        <w:ind w:firstLine="0"/>
      </w:pPr>
      <w:r w:rsidRPr="00D43319">
        <w:t>(11)</w:t>
      </w:r>
    </w:p>
    <w:p w:rsidR="00343182" w:rsidRPr="00D43319" w:rsidRDefault="00343182" w:rsidP="00D43319">
      <w:pPr>
        <w:pStyle w:val="NAPHText"/>
        <w:rPr>
          <w:rFonts w:ascii="SBL Hebrew" w:hAnsi="SBL Hebrew" w:cs="SBL Hebrew"/>
          <w:rtl/>
        </w:rPr>
      </w:pPr>
      <w:r w:rsidRPr="00D43319">
        <w:rPr>
          <w:rFonts w:ascii="SBL Hebrew" w:hAnsi="SBL Hebrew" w:cs="SBL Hebrew"/>
          <w:rtl/>
        </w:rPr>
        <w:t>ומהם, מי שאצטומכתו קטנה ועיכולו חלש</w:t>
      </w:r>
    </w:p>
    <w:p w:rsidR="00D43319" w:rsidRPr="00D43319" w:rsidRDefault="00D43319" w:rsidP="00D43319">
      <w:pPr>
        <w:pStyle w:val="NAPHQuote"/>
        <w:bidi w:val="0"/>
      </w:pPr>
    </w:p>
    <w:p w:rsidR="00343182" w:rsidRPr="00D43319" w:rsidRDefault="00343182" w:rsidP="00D43319">
      <w:pPr>
        <w:pStyle w:val="NAPHQuote"/>
        <w:bidi w:val="0"/>
        <w:rPr>
          <w:rtl/>
        </w:rPr>
      </w:pPr>
      <w:proofErr w:type="gramStart"/>
      <w:r w:rsidRPr="00D43319">
        <w:t>while</w:t>
      </w:r>
      <w:proofErr w:type="gramEnd"/>
      <w:r w:rsidRPr="00D43319">
        <w:t xml:space="preserve"> those with a small stomach and weak digestion (p. 10).</w:t>
      </w:r>
    </w:p>
    <w:p w:rsidR="00343182" w:rsidRDefault="00343182" w:rsidP="00D43319">
      <w:pPr>
        <w:pStyle w:val="NAPHQuote"/>
        <w:bidi w:val="0"/>
      </w:pPr>
      <w:proofErr w:type="spellStart"/>
      <w:proofErr w:type="gramStart"/>
      <w:r w:rsidRPr="00D43319">
        <w:rPr>
          <w:i/>
          <w:iCs/>
        </w:rPr>
        <w:t>wa-minhum</w:t>
      </w:r>
      <w:proofErr w:type="spellEnd"/>
      <w:proofErr w:type="gramEnd"/>
      <w:r w:rsidRPr="00D43319">
        <w:rPr>
          <w:i/>
          <w:iCs/>
        </w:rPr>
        <w:t xml:space="preserve"> man </w:t>
      </w:r>
      <w:proofErr w:type="spellStart"/>
      <w:r w:rsidRPr="00D43319">
        <w:rPr>
          <w:i/>
          <w:iCs/>
        </w:rPr>
        <w:t>maʻidatahu</w:t>
      </w:r>
      <w:proofErr w:type="spellEnd"/>
      <w:r w:rsidRPr="00D43319">
        <w:rPr>
          <w:i/>
          <w:iCs/>
        </w:rPr>
        <w:t xml:space="preserve"> </w:t>
      </w:r>
      <w:proofErr w:type="spellStart"/>
      <w:r w:rsidRPr="00D43319">
        <w:rPr>
          <w:i/>
          <w:iCs/>
        </w:rPr>
        <w:t>ṣaġ</w:t>
      </w:r>
      <w:r w:rsidR="00213524">
        <w:rPr>
          <w:i/>
          <w:iCs/>
        </w:rPr>
        <w:t>ī</w:t>
      </w:r>
      <w:r w:rsidRPr="00D43319">
        <w:rPr>
          <w:i/>
          <w:iCs/>
        </w:rPr>
        <w:t>ratun</w:t>
      </w:r>
      <w:proofErr w:type="spellEnd"/>
      <w:r w:rsidRPr="00D43319">
        <w:rPr>
          <w:i/>
          <w:iCs/>
        </w:rPr>
        <w:t xml:space="preserve"> </w:t>
      </w:r>
      <w:proofErr w:type="spellStart"/>
      <w:r w:rsidRPr="00D43319">
        <w:rPr>
          <w:i/>
          <w:iCs/>
        </w:rPr>
        <w:t>wa-haḍmuhu</w:t>
      </w:r>
      <w:proofErr w:type="spellEnd"/>
      <w:r w:rsidRPr="00D43319">
        <w:rPr>
          <w:i/>
          <w:iCs/>
        </w:rPr>
        <w:t xml:space="preserve"> </w:t>
      </w:r>
      <w:proofErr w:type="spellStart"/>
      <w:r w:rsidRPr="00D43319">
        <w:rPr>
          <w:i/>
          <w:iCs/>
        </w:rPr>
        <w:t>ḍaʻ</w:t>
      </w:r>
      <w:r w:rsidR="00213524">
        <w:rPr>
          <w:i/>
          <w:iCs/>
        </w:rPr>
        <w:t>ī</w:t>
      </w:r>
      <w:r w:rsidRPr="00D43319">
        <w:rPr>
          <w:i/>
          <w:iCs/>
        </w:rPr>
        <w:t>fun</w:t>
      </w:r>
      <w:proofErr w:type="spellEnd"/>
      <w:r w:rsidR="00D43319">
        <w:rPr>
          <w:i/>
          <w:iCs/>
        </w:rPr>
        <w:t xml:space="preserve"> </w:t>
      </w:r>
      <w:r w:rsidR="00D43319" w:rsidRPr="00D43319">
        <w:t>(p. 24).</w:t>
      </w:r>
    </w:p>
    <w:p w:rsidR="00D43319" w:rsidRDefault="00D43319" w:rsidP="00D43319">
      <w:pPr>
        <w:pStyle w:val="NAPHText"/>
        <w:bidi w:val="0"/>
      </w:pPr>
    </w:p>
    <w:p w:rsidR="00D43319" w:rsidRPr="00E87BE8" w:rsidRDefault="00D43319" w:rsidP="00E87BE8">
      <w:pPr>
        <w:pStyle w:val="NAPHText"/>
        <w:bidi w:val="0"/>
        <w:ind w:firstLine="0"/>
      </w:pPr>
      <w:r w:rsidRPr="00E87BE8">
        <w:t>(12)</w:t>
      </w:r>
    </w:p>
    <w:p w:rsidR="00343182" w:rsidRPr="00E87BE8" w:rsidRDefault="00343182" w:rsidP="00E87BE8">
      <w:pPr>
        <w:pStyle w:val="NAPHText"/>
        <w:rPr>
          <w:rFonts w:ascii="SBL Hebrew" w:hAnsi="SBL Hebrew" w:cs="SBL Hebrew"/>
          <w:rtl/>
        </w:rPr>
      </w:pPr>
      <w:r w:rsidRPr="00E87BE8">
        <w:rPr>
          <w:rFonts w:ascii="SBL Hebrew" w:hAnsi="SBL Hebrew" w:cs="SBL Hebrew"/>
          <w:rtl/>
        </w:rPr>
        <w:t>רצוני לומר, שאבחרה להודיע הנהגת החלי הזה, הן שיקרה למי שיקרה</w:t>
      </w:r>
    </w:p>
    <w:p w:rsidR="00E87BE8" w:rsidRPr="00E87BE8" w:rsidRDefault="00E87BE8" w:rsidP="00E87BE8">
      <w:pPr>
        <w:pStyle w:val="NAPHQuote"/>
        <w:bidi w:val="0"/>
      </w:pPr>
    </w:p>
    <w:p w:rsidR="00343182" w:rsidRPr="00E87BE8" w:rsidRDefault="00343182" w:rsidP="00B46DE3">
      <w:pPr>
        <w:pStyle w:val="NAPHQuote"/>
        <w:bidi w:val="0"/>
        <w:rPr>
          <w:rtl/>
        </w:rPr>
      </w:pPr>
      <w:proofErr w:type="gramStart"/>
      <w:r w:rsidRPr="00E87BE8">
        <w:t>namely</w:t>
      </w:r>
      <w:proofErr w:type="gramEnd"/>
      <w:r w:rsidRPr="00E87BE8">
        <w:t>, [to imp</w:t>
      </w:r>
      <w:r w:rsidR="00B46DE3">
        <w:t>a</w:t>
      </w:r>
      <w:r w:rsidRPr="00E87BE8">
        <w:t xml:space="preserve">rt] knowledge about the treatment of this disease for every individual case (p. </w:t>
      </w:r>
      <w:r w:rsidR="00E87BE8" w:rsidRPr="00E87BE8">
        <w:t>1).</w:t>
      </w:r>
    </w:p>
    <w:p w:rsidR="00343182" w:rsidRPr="00E87BE8" w:rsidRDefault="00343182" w:rsidP="00E87BE8">
      <w:pPr>
        <w:pStyle w:val="NAPHQuote"/>
        <w:bidi w:val="0"/>
      </w:pPr>
      <w:proofErr w:type="spellStart"/>
      <w:r w:rsidRPr="00E87BE8">
        <w:rPr>
          <w:i/>
          <w:iCs/>
        </w:rPr>
        <w:t>ʼaʻn</w:t>
      </w:r>
      <w:r w:rsidR="00213524">
        <w:rPr>
          <w:i/>
          <w:iCs/>
        </w:rPr>
        <w:t>ī</w:t>
      </w:r>
      <w:proofErr w:type="spellEnd"/>
      <w:r w:rsidRPr="00E87BE8">
        <w:rPr>
          <w:i/>
          <w:iCs/>
        </w:rPr>
        <w:t xml:space="preserve"> </w:t>
      </w:r>
      <w:proofErr w:type="spellStart"/>
      <w:r w:rsidRPr="00E87BE8">
        <w:rPr>
          <w:i/>
          <w:iCs/>
        </w:rPr>
        <w:t>ʼan</w:t>
      </w:r>
      <w:proofErr w:type="spellEnd"/>
      <w:r w:rsidRPr="00E87BE8">
        <w:rPr>
          <w:i/>
          <w:iCs/>
        </w:rPr>
        <w:t xml:space="preserve"> </w:t>
      </w:r>
      <w:proofErr w:type="spellStart"/>
      <w:r w:rsidRPr="00E87BE8">
        <w:rPr>
          <w:i/>
          <w:iCs/>
        </w:rPr>
        <w:t>ʼaḍaʻahā</w:t>
      </w:r>
      <w:proofErr w:type="spellEnd"/>
      <w:r w:rsidRPr="00E87BE8">
        <w:rPr>
          <w:i/>
          <w:iCs/>
        </w:rPr>
        <w:t xml:space="preserve"> l-</w:t>
      </w:r>
      <w:proofErr w:type="spellStart"/>
      <w:r w:rsidRPr="00E87BE8">
        <w:rPr>
          <w:i/>
          <w:iCs/>
        </w:rPr>
        <w:t>maʻrifati</w:t>
      </w:r>
      <w:proofErr w:type="spellEnd"/>
      <w:r w:rsidRPr="00E87BE8">
        <w:rPr>
          <w:i/>
          <w:iCs/>
        </w:rPr>
        <w:t xml:space="preserve"> </w:t>
      </w:r>
      <w:proofErr w:type="spellStart"/>
      <w:r w:rsidRPr="00E87BE8">
        <w:rPr>
          <w:i/>
          <w:iCs/>
        </w:rPr>
        <w:t>tadb</w:t>
      </w:r>
      <w:r w:rsidR="00213524">
        <w:rPr>
          <w:i/>
          <w:iCs/>
        </w:rPr>
        <w:t>ī</w:t>
      </w:r>
      <w:r w:rsidRPr="00E87BE8">
        <w:rPr>
          <w:i/>
          <w:iCs/>
        </w:rPr>
        <w:t>ri</w:t>
      </w:r>
      <w:proofErr w:type="spellEnd"/>
      <w:r w:rsidRPr="00E87BE8">
        <w:rPr>
          <w:i/>
          <w:iCs/>
        </w:rPr>
        <w:t xml:space="preserve"> </w:t>
      </w:r>
      <w:proofErr w:type="spellStart"/>
      <w:r w:rsidRPr="00E87BE8">
        <w:rPr>
          <w:i/>
          <w:iCs/>
        </w:rPr>
        <w:t>hāḏa</w:t>
      </w:r>
      <w:proofErr w:type="spellEnd"/>
      <w:r w:rsidRPr="00E87BE8">
        <w:rPr>
          <w:i/>
          <w:iCs/>
        </w:rPr>
        <w:t xml:space="preserve"> l-</w:t>
      </w:r>
      <w:proofErr w:type="spellStart"/>
      <w:r w:rsidRPr="00E87BE8">
        <w:rPr>
          <w:i/>
          <w:iCs/>
        </w:rPr>
        <w:t>maraḍi</w:t>
      </w:r>
      <w:proofErr w:type="spellEnd"/>
      <w:r w:rsidRPr="00E87BE8">
        <w:rPr>
          <w:i/>
          <w:iCs/>
        </w:rPr>
        <w:t xml:space="preserve"> </w:t>
      </w:r>
      <w:proofErr w:type="spellStart"/>
      <w:r w:rsidRPr="00E87BE8">
        <w:rPr>
          <w:i/>
          <w:iCs/>
        </w:rPr>
        <w:t>ʻarḍun</w:t>
      </w:r>
      <w:proofErr w:type="spellEnd"/>
      <w:r w:rsidRPr="00E87BE8">
        <w:rPr>
          <w:i/>
          <w:iCs/>
        </w:rPr>
        <w:t xml:space="preserve"> li-</w:t>
      </w:r>
      <w:proofErr w:type="spellStart"/>
      <w:r w:rsidRPr="00E87BE8">
        <w:rPr>
          <w:i/>
          <w:iCs/>
        </w:rPr>
        <w:t>kulli</w:t>
      </w:r>
      <w:proofErr w:type="spellEnd"/>
      <w:r w:rsidRPr="00E87BE8">
        <w:rPr>
          <w:i/>
          <w:iCs/>
        </w:rPr>
        <w:t xml:space="preserve"> man </w:t>
      </w:r>
      <w:proofErr w:type="spellStart"/>
      <w:r w:rsidRPr="00E87BE8">
        <w:rPr>
          <w:i/>
          <w:iCs/>
        </w:rPr>
        <w:t>ʻaraḍ</w:t>
      </w:r>
      <w:proofErr w:type="spellEnd"/>
      <w:r w:rsidRPr="00E87BE8">
        <w:t xml:space="preserve"> (p. 1).</w:t>
      </w:r>
    </w:p>
    <w:p w:rsidR="00343182" w:rsidRPr="00F611BF" w:rsidRDefault="00343182" w:rsidP="00E87BE8">
      <w:pPr>
        <w:pStyle w:val="NAPHText"/>
        <w:bidi w:val="0"/>
      </w:pPr>
    </w:p>
    <w:p w:rsidR="00343182" w:rsidRDefault="00343182" w:rsidP="00C931EE">
      <w:pPr>
        <w:pStyle w:val="3"/>
        <w:bidi w:val="0"/>
      </w:pPr>
      <w:r w:rsidRPr="00F611BF">
        <w:rPr>
          <w:rFonts w:cs="SBL Hebrew"/>
        </w:rPr>
        <w:t>2.3.2</w:t>
      </w:r>
      <w:r w:rsidR="00C931EE">
        <w:rPr>
          <w:rFonts w:cs="SBL Hebrew"/>
        </w:rPr>
        <w:t>.</w:t>
      </w:r>
      <w:r w:rsidRPr="00F611BF">
        <w:rPr>
          <w:rFonts w:cs="SBL Hebrew"/>
        </w:rPr>
        <w:t xml:space="preserve"> </w:t>
      </w:r>
      <w:r>
        <w:t>Relative Clauses with</w:t>
      </w:r>
      <w:r w:rsidRPr="00F611BF">
        <w:t xml:space="preserve"> </w:t>
      </w:r>
      <w:r w:rsidRPr="00F611BF">
        <w:rPr>
          <w:rFonts w:cs="SBL Hebrew"/>
          <w:rtl/>
        </w:rPr>
        <w:t>מה</w:t>
      </w:r>
      <w:r>
        <w:t xml:space="preserve"> as a Relative P</w:t>
      </w:r>
      <w:r w:rsidRPr="00F611BF">
        <w:t>article</w:t>
      </w:r>
    </w:p>
    <w:p w:rsidR="00343182" w:rsidRDefault="00343182" w:rsidP="00E87BE8">
      <w:pPr>
        <w:pStyle w:val="NAPHText"/>
        <w:bidi w:val="0"/>
      </w:pPr>
    </w:p>
    <w:p w:rsidR="00E87BE8" w:rsidRPr="00E87BE8" w:rsidRDefault="00E87BE8" w:rsidP="00E87BE8">
      <w:pPr>
        <w:pStyle w:val="NAPHText"/>
        <w:bidi w:val="0"/>
        <w:ind w:firstLine="0"/>
      </w:pPr>
      <w:r w:rsidRPr="00E87BE8">
        <w:t>(13)</w:t>
      </w:r>
    </w:p>
    <w:p w:rsidR="00343182" w:rsidRPr="00E87BE8" w:rsidRDefault="00343182" w:rsidP="00E87BE8">
      <w:pPr>
        <w:pStyle w:val="NAPHText"/>
        <w:rPr>
          <w:rFonts w:ascii="SBL Hebrew" w:hAnsi="SBL Hebrew" w:cs="SBL Hebrew"/>
          <w:rtl/>
        </w:rPr>
      </w:pPr>
      <w:r w:rsidRPr="00E87BE8">
        <w:rPr>
          <w:rFonts w:ascii="SBL Hebrew" w:hAnsi="SBL Hebrew" w:cs="SBL Hebrew"/>
          <w:rtl/>
        </w:rPr>
        <w:t xml:space="preserve">וכמו כן מה שיסעד מסעד רב מאד, ואפילו היה טוב </w:t>
      </w:r>
    </w:p>
    <w:p w:rsidR="00E87BE8" w:rsidRDefault="00E87BE8" w:rsidP="006379CB">
      <w:pPr>
        <w:bidi w:val="0"/>
        <w:spacing w:line="360" w:lineRule="exact"/>
        <w:jc w:val="both"/>
        <w:rPr>
          <w:rFonts w:ascii="Gentium" w:hAnsi="Gentium"/>
        </w:rPr>
      </w:pPr>
    </w:p>
    <w:p w:rsidR="00343182" w:rsidRPr="00E87BE8" w:rsidRDefault="00343182" w:rsidP="00E87BE8">
      <w:pPr>
        <w:pStyle w:val="NAPHQuote"/>
        <w:bidi w:val="0"/>
        <w:rPr>
          <w:rtl/>
        </w:rPr>
      </w:pPr>
      <w:proofErr w:type="gramStart"/>
      <w:r w:rsidRPr="00E87BE8">
        <w:t>and</w:t>
      </w:r>
      <w:proofErr w:type="gramEnd"/>
      <w:r w:rsidRPr="00E87BE8">
        <w:t xml:space="preserve"> similarly everything that is very nutritious, even if it is good (p. 4).</w:t>
      </w:r>
    </w:p>
    <w:p w:rsidR="00343182" w:rsidRPr="00E87BE8" w:rsidRDefault="00343182" w:rsidP="00E87BE8">
      <w:pPr>
        <w:pStyle w:val="NAPHQuote"/>
        <w:bidi w:val="0"/>
      </w:pPr>
      <w:proofErr w:type="spellStart"/>
      <w:proofErr w:type="gramStart"/>
      <w:r w:rsidRPr="00E87BE8">
        <w:rPr>
          <w:i/>
          <w:iCs/>
        </w:rPr>
        <w:t>wa-kaḏālika</w:t>
      </w:r>
      <w:proofErr w:type="spellEnd"/>
      <w:proofErr w:type="gramEnd"/>
      <w:r w:rsidRPr="00E87BE8">
        <w:rPr>
          <w:i/>
          <w:iCs/>
        </w:rPr>
        <w:t xml:space="preserve"> </w:t>
      </w:r>
      <w:proofErr w:type="spellStart"/>
      <w:r w:rsidRPr="00E87BE8">
        <w:rPr>
          <w:i/>
          <w:iCs/>
        </w:rPr>
        <w:t>kullu</w:t>
      </w:r>
      <w:proofErr w:type="spellEnd"/>
      <w:r w:rsidRPr="00E87BE8">
        <w:rPr>
          <w:i/>
          <w:iCs/>
        </w:rPr>
        <w:t xml:space="preserve"> </w:t>
      </w:r>
      <w:proofErr w:type="spellStart"/>
      <w:r w:rsidRPr="00E87BE8">
        <w:rPr>
          <w:i/>
          <w:iCs/>
        </w:rPr>
        <w:t>mā</w:t>
      </w:r>
      <w:proofErr w:type="spellEnd"/>
      <w:r w:rsidRPr="00E87BE8">
        <w:rPr>
          <w:i/>
          <w:iCs/>
        </w:rPr>
        <w:t xml:space="preserve"> </w:t>
      </w:r>
      <w:proofErr w:type="spellStart"/>
      <w:r w:rsidRPr="00E87BE8">
        <w:rPr>
          <w:i/>
          <w:iCs/>
        </w:rPr>
        <w:t>yaġdū</w:t>
      </w:r>
      <w:proofErr w:type="spellEnd"/>
      <w:r w:rsidRPr="00E87BE8">
        <w:rPr>
          <w:i/>
          <w:iCs/>
        </w:rPr>
        <w:t xml:space="preserve"> </w:t>
      </w:r>
      <w:proofErr w:type="spellStart"/>
      <w:r w:rsidRPr="00E87BE8">
        <w:rPr>
          <w:i/>
          <w:iCs/>
        </w:rPr>
        <w:t>ġiḏaʼan</w:t>
      </w:r>
      <w:proofErr w:type="spellEnd"/>
      <w:r w:rsidRPr="00E87BE8">
        <w:rPr>
          <w:i/>
          <w:iCs/>
        </w:rPr>
        <w:t xml:space="preserve"> </w:t>
      </w:r>
      <w:proofErr w:type="spellStart"/>
      <w:r w:rsidRPr="00E87BE8">
        <w:rPr>
          <w:i/>
          <w:iCs/>
        </w:rPr>
        <w:t>kaṯiran</w:t>
      </w:r>
      <w:proofErr w:type="spellEnd"/>
      <w:r w:rsidRPr="00E87BE8">
        <w:rPr>
          <w:i/>
          <w:iCs/>
        </w:rPr>
        <w:t xml:space="preserve"> </w:t>
      </w:r>
      <w:proofErr w:type="spellStart"/>
      <w:r w:rsidRPr="00E87BE8">
        <w:rPr>
          <w:i/>
          <w:iCs/>
        </w:rPr>
        <w:t>wa</w:t>
      </w:r>
      <w:proofErr w:type="spellEnd"/>
      <w:r w:rsidRPr="00E87BE8">
        <w:rPr>
          <w:i/>
          <w:iCs/>
        </w:rPr>
        <w:t xml:space="preserve">-law </w:t>
      </w:r>
      <w:proofErr w:type="spellStart"/>
      <w:r w:rsidRPr="00E87BE8">
        <w:rPr>
          <w:i/>
          <w:iCs/>
        </w:rPr>
        <w:t>kāna</w:t>
      </w:r>
      <w:proofErr w:type="spellEnd"/>
      <w:r w:rsidRPr="00E87BE8">
        <w:rPr>
          <w:i/>
          <w:iCs/>
        </w:rPr>
        <w:t xml:space="preserve"> </w:t>
      </w:r>
      <w:proofErr w:type="spellStart"/>
      <w:r w:rsidRPr="00E87BE8">
        <w:rPr>
          <w:i/>
          <w:iCs/>
        </w:rPr>
        <w:t>ğad</w:t>
      </w:r>
      <w:r w:rsidR="00213524">
        <w:rPr>
          <w:i/>
          <w:iCs/>
        </w:rPr>
        <w:t>ī</w:t>
      </w:r>
      <w:r w:rsidRPr="00E87BE8">
        <w:rPr>
          <w:i/>
          <w:iCs/>
        </w:rPr>
        <w:t>dan</w:t>
      </w:r>
      <w:proofErr w:type="spellEnd"/>
      <w:r w:rsidRPr="00E87BE8">
        <w:rPr>
          <w:i/>
          <w:iCs/>
        </w:rPr>
        <w:t xml:space="preserve"> </w:t>
      </w:r>
      <w:r w:rsidRPr="00E87BE8">
        <w:t xml:space="preserve">(p. 8). </w:t>
      </w:r>
    </w:p>
    <w:p w:rsidR="00343182" w:rsidRDefault="00343182" w:rsidP="00E87BE8">
      <w:pPr>
        <w:pStyle w:val="NAPHText"/>
        <w:bidi w:val="0"/>
      </w:pPr>
    </w:p>
    <w:p w:rsidR="00E87BE8" w:rsidRPr="00E87BE8" w:rsidRDefault="00E87BE8" w:rsidP="00E87BE8">
      <w:pPr>
        <w:pStyle w:val="NAPHText"/>
        <w:bidi w:val="0"/>
        <w:ind w:firstLine="0"/>
      </w:pPr>
      <w:r w:rsidRPr="00E87BE8">
        <w:t>(14)</w:t>
      </w:r>
    </w:p>
    <w:p w:rsidR="00343182" w:rsidRPr="00E87BE8" w:rsidRDefault="00343182" w:rsidP="00E87BE8">
      <w:pPr>
        <w:pStyle w:val="NAPHText"/>
        <w:rPr>
          <w:rFonts w:ascii="SBL Hebrew" w:hAnsi="SBL Hebrew" w:cs="SBL Hebrew"/>
          <w:rtl/>
        </w:rPr>
      </w:pPr>
      <w:r w:rsidRPr="00E87BE8">
        <w:rPr>
          <w:rFonts w:ascii="SBL Hebrew" w:hAnsi="SBL Hebrew" w:cs="SBL Hebrew"/>
          <w:rtl/>
        </w:rPr>
        <w:t>וכבר ידעתי בעדות ובמה שספרת לנו</w:t>
      </w:r>
    </w:p>
    <w:p w:rsidR="00E87BE8" w:rsidRPr="00E87BE8" w:rsidRDefault="00E87BE8" w:rsidP="00E87BE8">
      <w:pPr>
        <w:pStyle w:val="NAPHQuote"/>
        <w:bidi w:val="0"/>
        <w:rPr>
          <w:lang w:eastAsia="en-US"/>
        </w:rPr>
      </w:pPr>
    </w:p>
    <w:p w:rsidR="00343182" w:rsidRPr="00E87BE8" w:rsidRDefault="00343182" w:rsidP="00E87BE8">
      <w:pPr>
        <w:pStyle w:val="NAPHQuote"/>
        <w:bidi w:val="0"/>
        <w:rPr>
          <w:rtl/>
        </w:rPr>
      </w:pPr>
      <w:r w:rsidRPr="00E87BE8">
        <w:rPr>
          <w:lang w:eastAsia="en-US"/>
        </w:rPr>
        <w:t>I know from what I have witnessed with my own eyes and from what my Master has described to me</w:t>
      </w:r>
      <w:r w:rsidRPr="00E87BE8">
        <w:t xml:space="preserve"> (p. </w:t>
      </w:r>
      <w:r w:rsidR="00E87BE8">
        <w:t>1).</w:t>
      </w:r>
    </w:p>
    <w:p w:rsidR="00343182" w:rsidRPr="00E87BE8" w:rsidRDefault="00343182" w:rsidP="00E87BE8">
      <w:pPr>
        <w:pStyle w:val="NAPHQuote"/>
        <w:bidi w:val="0"/>
      </w:pPr>
      <w:proofErr w:type="spellStart"/>
      <w:proofErr w:type="gramStart"/>
      <w:r w:rsidRPr="00E87BE8">
        <w:rPr>
          <w:i/>
          <w:iCs/>
        </w:rPr>
        <w:t>wa-qad</w:t>
      </w:r>
      <w:proofErr w:type="spellEnd"/>
      <w:proofErr w:type="gramEnd"/>
      <w:r w:rsidRPr="00E87BE8">
        <w:rPr>
          <w:i/>
          <w:iCs/>
        </w:rPr>
        <w:t xml:space="preserve"> </w:t>
      </w:r>
      <w:proofErr w:type="spellStart"/>
      <w:r w:rsidRPr="00E87BE8">
        <w:rPr>
          <w:i/>
          <w:iCs/>
        </w:rPr>
        <w:t>ʻalimtu</w:t>
      </w:r>
      <w:proofErr w:type="spellEnd"/>
      <w:r w:rsidRPr="00E87BE8">
        <w:rPr>
          <w:i/>
          <w:iCs/>
        </w:rPr>
        <w:t xml:space="preserve"> bi-l-</w:t>
      </w:r>
      <w:proofErr w:type="spellStart"/>
      <w:r w:rsidRPr="00E87BE8">
        <w:rPr>
          <w:i/>
          <w:iCs/>
        </w:rPr>
        <w:t>mušāhadati</w:t>
      </w:r>
      <w:proofErr w:type="spellEnd"/>
      <w:r w:rsidRPr="00E87BE8">
        <w:rPr>
          <w:i/>
          <w:iCs/>
        </w:rPr>
        <w:t xml:space="preserve"> </w:t>
      </w:r>
      <w:proofErr w:type="spellStart"/>
      <w:r w:rsidRPr="00E87BE8">
        <w:rPr>
          <w:i/>
          <w:iCs/>
        </w:rPr>
        <w:t>wa</w:t>
      </w:r>
      <w:proofErr w:type="spellEnd"/>
      <w:r w:rsidRPr="00E87BE8">
        <w:rPr>
          <w:i/>
          <w:iCs/>
        </w:rPr>
        <w:t>-bi-</w:t>
      </w:r>
      <w:proofErr w:type="spellStart"/>
      <w:r w:rsidRPr="00E87BE8">
        <w:rPr>
          <w:i/>
          <w:iCs/>
        </w:rPr>
        <w:t>mā</w:t>
      </w:r>
      <w:proofErr w:type="spellEnd"/>
      <w:r w:rsidRPr="00E87BE8">
        <w:rPr>
          <w:i/>
          <w:iCs/>
        </w:rPr>
        <w:t xml:space="preserve"> </w:t>
      </w:r>
      <w:proofErr w:type="spellStart"/>
      <w:r w:rsidRPr="00E87BE8">
        <w:rPr>
          <w:i/>
          <w:iCs/>
        </w:rPr>
        <w:t>waṣafathu</w:t>
      </w:r>
      <w:proofErr w:type="spellEnd"/>
      <w:r w:rsidRPr="00E87BE8">
        <w:rPr>
          <w:i/>
          <w:iCs/>
        </w:rPr>
        <w:t xml:space="preserve"> l-</w:t>
      </w:r>
      <w:proofErr w:type="spellStart"/>
      <w:r w:rsidRPr="00E87BE8">
        <w:rPr>
          <w:i/>
          <w:iCs/>
        </w:rPr>
        <w:t>ḥaḍratu</w:t>
      </w:r>
      <w:proofErr w:type="spellEnd"/>
      <w:r w:rsidRPr="00E87BE8">
        <w:rPr>
          <w:i/>
          <w:iCs/>
        </w:rPr>
        <w:t xml:space="preserve"> </w:t>
      </w:r>
      <w:proofErr w:type="spellStart"/>
      <w:r w:rsidRPr="00E87BE8">
        <w:rPr>
          <w:i/>
          <w:iCs/>
        </w:rPr>
        <w:t>l</w:t>
      </w:r>
      <w:r w:rsidR="00213524">
        <w:rPr>
          <w:i/>
          <w:iCs/>
        </w:rPr>
        <w:t>ī</w:t>
      </w:r>
      <w:proofErr w:type="spellEnd"/>
      <w:r w:rsidR="00E87BE8">
        <w:t xml:space="preserve"> </w:t>
      </w:r>
      <w:r w:rsidRPr="00E87BE8">
        <w:t>(p. 2).</w:t>
      </w:r>
    </w:p>
    <w:p w:rsidR="00343182" w:rsidRPr="00F611BF" w:rsidRDefault="00343182" w:rsidP="00E87BE8">
      <w:pPr>
        <w:pStyle w:val="NAPHText"/>
        <w:bidi w:val="0"/>
      </w:pPr>
    </w:p>
    <w:p w:rsidR="00343182" w:rsidRDefault="00343182" w:rsidP="00C931EE">
      <w:pPr>
        <w:pStyle w:val="3"/>
        <w:bidi w:val="0"/>
      </w:pPr>
      <w:r w:rsidRPr="00F611BF">
        <w:rPr>
          <w:rFonts w:cs="SBL Hebrew"/>
        </w:rPr>
        <w:t>2.3.3</w:t>
      </w:r>
      <w:r w:rsidR="00C931EE">
        <w:rPr>
          <w:rFonts w:cs="SBL Hebrew"/>
        </w:rPr>
        <w:t>.</w:t>
      </w:r>
      <w:r w:rsidRPr="00F611BF">
        <w:rPr>
          <w:rFonts w:cs="SBL Hebrew"/>
        </w:rPr>
        <w:t xml:space="preserve"> </w:t>
      </w:r>
      <w:r>
        <w:t>Relative C</w:t>
      </w:r>
      <w:r w:rsidRPr="00F611BF">
        <w:t xml:space="preserve">lauses </w:t>
      </w:r>
      <w:r>
        <w:t>with</w:t>
      </w:r>
      <w:r w:rsidRPr="00F611BF">
        <w:rPr>
          <w:rFonts w:cs="SBL Hebrew"/>
          <w:rtl/>
        </w:rPr>
        <w:t xml:space="preserve"> ממה </w:t>
      </w:r>
      <w:r>
        <w:t>as a Relative P</w:t>
      </w:r>
      <w:r w:rsidRPr="00F611BF">
        <w:t>article</w:t>
      </w:r>
    </w:p>
    <w:p w:rsidR="00343182" w:rsidRDefault="00343182" w:rsidP="00E87BE8">
      <w:pPr>
        <w:pStyle w:val="NAPHText"/>
        <w:bidi w:val="0"/>
      </w:pPr>
    </w:p>
    <w:p w:rsidR="00E87BE8" w:rsidRPr="00E87BE8" w:rsidRDefault="00E87BE8" w:rsidP="00E87BE8">
      <w:pPr>
        <w:pStyle w:val="NAPHText"/>
        <w:bidi w:val="0"/>
        <w:ind w:firstLine="0"/>
      </w:pPr>
      <w:r w:rsidRPr="00E87BE8">
        <w:t>(15)</w:t>
      </w:r>
    </w:p>
    <w:p w:rsidR="00343182" w:rsidRPr="00E87BE8" w:rsidRDefault="00343182" w:rsidP="00E87BE8">
      <w:pPr>
        <w:pStyle w:val="NAPHText"/>
        <w:ind w:left="360" w:firstLine="0"/>
        <w:rPr>
          <w:rFonts w:ascii="SBL Hebrew" w:hAnsi="SBL Hebrew" w:cs="SBL Hebrew"/>
          <w:rtl/>
        </w:rPr>
      </w:pPr>
      <w:r w:rsidRPr="00E87BE8">
        <w:rPr>
          <w:rFonts w:ascii="SBL Hebrew" w:hAnsi="SBL Hebrew" w:cs="SBL Hebrew"/>
          <w:rtl/>
        </w:rPr>
        <w:t xml:space="preserve">ובזמן בריאותם יאות לעשותו יותר ממה שיעשהו בשיעור, ואין צריך לומר המשוש היבש </w:t>
      </w:r>
    </w:p>
    <w:p w:rsidR="00E87BE8" w:rsidRDefault="00E87BE8" w:rsidP="00E87BE8">
      <w:pPr>
        <w:pStyle w:val="NAPHQuote"/>
        <w:bidi w:val="0"/>
        <w:rPr>
          <w:lang w:eastAsia="en-US"/>
        </w:rPr>
      </w:pPr>
    </w:p>
    <w:p w:rsidR="00343182" w:rsidRPr="0099769A" w:rsidRDefault="00343182" w:rsidP="00E87BE8">
      <w:pPr>
        <w:pStyle w:val="NAPHQuote"/>
        <w:bidi w:val="0"/>
        <w:rPr>
          <w:rtl/>
        </w:rPr>
      </w:pPr>
      <w:r w:rsidRPr="00F611BF">
        <w:rPr>
          <w:lang w:eastAsia="en-US"/>
        </w:rPr>
        <w:t>But when they are healthy, it may be necessary to apply massage to them more frequently than in the case of the other limbs, and especially [to apply] dry massage</w:t>
      </w:r>
      <w:r>
        <w:t xml:space="preserve"> (p. </w:t>
      </w:r>
      <w:r w:rsidR="00E87BE8">
        <w:t>23).</w:t>
      </w:r>
    </w:p>
    <w:p w:rsidR="00343182" w:rsidRPr="00E87BE8" w:rsidRDefault="00343182" w:rsidP="00E87BE8">
      <w:pPr>
        <w:pStyle w:val="NAPHQuote"/>
        <w:bidi w:val="0"/>
        <w:rPr>
          <w:i/>
          <w:iCs/>
        </w:rPr>
      </w:pPr>
      <w:proofErr w:type="spellStart"/>
      <w:proofErr w:type="gramStart"/>
      <w:r w:rsidRPr="00E87BE8">
        <w:rPr>
          <w:i/>
          <w:iCs/>
        </w:rPr>
        <w:t>wa-f</w:t>
      </w:r>
      <w:r w:rsidR="00213524">
        <w:rPr>
          <w:rFonts w:ascii="Times Beyrut Roman" w:hAnsi="Times Beyrut Roman"/>
          <w:i/>
          <w:iCs/>
        </w:rPr>
        <w:t>ī</w:t>
      </w:r>
      <w:proofErr w:type="spellEnd"/>
      <w:proofErr w:type="gramEnd"/>
      <w:r w:rsidRPr="00E87BE8">
        <w:rPr>
          <w:i/>
          <w:iCs/>
        </w:rPr>
        <w:t xml:space="preserve"> </w:t>
      </w:r>
      <w:proofErr w:type="spellStart"/>
      <w:r w:rsidRPr="00E87BE8">
        <w:rPr>
          <w:i/>
          <w:iCs/>
        </w:rPr>
        <w:t>waqti</w:t>
      </w:r>
      <w:proofErr w:type="spellEnd"/>
      <w:r w:rsidRPr="00E87BE8">
        <w:rPr>
          <w:i/>
          <w:iCs/>
        </w:rPr>
        <w:t xml:space="preserve"> </w:t>
      </w:r>
      <w:proofErr w:type="spellStart"/>
      <w:r w:rsidRPr="00E87BE8">
        <w:rPr>
          <w:i/>
          <w:iCs/>
        </w:rPr>
        <w:t>ṣiḥḥatihā</w:t>
      </w:r>
      <w:proofErr w:type="spellEnd"/>
      <w:r w:rsidRPr="00E87BE8">
        <w:rPr>
          <w:i/>
          <w:iCs/>
        </w:rPr>
        <w:t xml:space="preserve"> </w:t>
      </w:r>
      <w:proofErr w:type="spellStart"/>
      <w:r w:rsidRPr="00E87BE8">
        <w:rPr>
          <w:i/>
          <w:iCs/>
        </w:rPr>
        <w:t>qad</w:t>
      </w:r>
      <w:proofErr w:type="spellEnd"/>
      <w:r w:rsidRPr="00E87BE8">
        <w:rPr>
          <w:i/>
          <w:iCs/>
        </w:rPr>
        <w:t xml:space="preserve"> </w:t>
      </w:r>
      <w:proofErr w:type="spellStart"/>
      <w:r w:rsidRPr="00E87BE8">
        <w:rPr>
          <w:i/>
          <w:iCs/>
        </w:rPr>
        <w:t>yanbaġ</w:t>
      </w:r>
      <w:r w:rsidR="00213524">
        <w:rPr>
          <w:rFonts w:ascii="Times Beyrut Roman" w:hAnsi="Times Beyrut Roman"/>
          <w:i/>
          <w:iCs/>
        </w:rPr>
        <w:t>ī</w:t>
      </w:r>
      <w:proofErr w:type="spellEnd"/>
      <w:r w:rsidRPr="00E87BE8">
        <w:rPr>
          <w:i/>
          <w:iCs/>
        </w:rPr>
        <w:t xml:space="preserve"> </w:t>
      </w:r>
      <w:proofErr w:type="spellStart"/>
      <w:r w:rsidRPr="00E87BE8">
        <w:rPr>
          <w:i/>
          <w:iCs/>
        </w:rPr>
        <w:t>ʼan</w:t>
      </w:r>
      <w:proofErr w:type="spellEnd"/>
      <w:r w:rsidRPr="00E87BE8">
        <w:rPr>
          <w:i/>
          <w:iCs/>
        </w:rPr>
        <w:t xml:space="preserve"> </w:t>
      </w:r>
      <w:proofErr w:type="spellStart"/>
      <w:r w:rsidRPr="00E87BE8">
        <w:rPr>
          <w:i/>
          <w:iCs/>
        </w:rPr>
        <w:t>tastaʻmila</w:t>
      </w:r>
      <w:proofErr w:type="spellEnd"/>
      <w:r w:rsidRPr="00E87BE8">
        <w:rPr>
          <w:i/>
          <w:iCs/>
        </w:rPr>
        <w:t xml:space="preserve"> </w:t>
      </w:r>
      <w:proofErr w:type="spellStart"/>
      <w:r w:rsidRPr="00E87BE8">
        <w:rPr>
          <w:i/>
          <w:iCs/>
        </w:rPr>
        <w:t>f</w:t>
      </w:r>
      <w:r w:rsidR="00213524">
        <w:rPr>
          <w:rFonts w:ascii="Times Beyrut Roman" w:hAnsi="Times Beyrut Roman"/>
          <w:i/>
          <w:iCs/>
        </w:rPr>
        <w:t>ī</w:t>
      </w:r>
      <w:r w:rsidRPr="00E87BE8">
        <w:rPr>
          <w:i/>
          <w:iCs/>
        </w:rPr>
        <w:t>h</w:t>
      </w:r>
      <w:r w:rsidRPr="00E87BE8">
        <w:rPr>
          <w:rFonts w:ascii="Gentium Plus" w:hAnsi="Gentium Plus"/>
          <w:i/>
          <w:iCs/>
        </w:rPr>
        <w:t>ā</w:t>
      </w:r>
      <w:proofErr w:type="spellEnd"/>
      <w:r w:rsidRPr="00E87BE8">
        <w:rPr>
          <w:rFonts w:ascii="Gentium Plus" w:hAnsi="Gentium Plus"/>
          <w:i/>
          <w:iCs/>
        </w:rPr>
        <w:t xml:space="preserve"> bi-</w:t>
      </w:r>
      <w:proofErr w:type="spellStart"/>
      <w:r w:rsidRPr="00E87BE8">
        <w:rPr>
          <w:i/>
          <w:iCs/>
        </w:rPr>
        <w:t>ʼ</w:t>
      </w:r>
      <w:r w:rsidRPr="00E87BE8">
        <w:rPr>
          <w:rFonts w:ascii="Gentium Plus" w:hAnsi="Gentium Plus"/>
          <w:i/>
          <w:iCs/>
        </w:rPr>
        <w:t>ak</w:t>
      </w:r>
      <w:r w:rsidRPr="00E87BE8">
        <w:rPr>
          <w:i/>
          <w:iCs/>
        </w:rPr>
        <w:t>ṯari</w:t>
      </w:r>
      <w:proofErr w:type="spellEnd"/>
      <w:r w:rsidRPr="00E87BE8">
        <w:rPr>
          <w:i/>
          <w:iCs/>
        </w:rPr>
        <w:t xml:space="preserve"> </w:t>
      </w:r>
      <w:proofErr w:type="spellStart"/>
      <w:r w:rsidRPr="00E87BE8">
        <w:rPr>
          <w:i/>
          <w:iCs/>
        </w:rPr>
        <w:t>mimm</w:t>
      </w:r>
      <w:r w:rsidRPr="00E87BE8">
        <w:rPr>
          <w:rFonts w:ascii="Gentium Plus" w:hAnsi="Gentium Plus"/>
          <w:i/>
          <w:iCs/>
        </w:rPr>
        <w:t>ā</w:t>
      </w:r>
      <w:proofErr w:type="spellEnd"/>
      <w:r w:rsidRPr="00E87BE8">
        <w:rPr>
          <w:i/>
          <w:iCs/>
        </w:rPr>
        <w:t xml:space="preserve"> </w:t>
      </w:r>
      <w:proofErr w:type="spellStart"/>
      <w:r w:rsidRPr="00E87BE8">
        <w:rPr>
          <w:i/>
          <w:iCs/>
        </w:rPr>
        <w:t>yustaʻmalu</w:t>
      </w:r>
      <w:proofErr w:type="spellEnd"/>
      <w:r w:rsidRPr="00E87BE8">
        <w:rPr>
          <w:i/>
          <w:iCs/>
        </w:rPr>
        <w:t xml:space="preserve"> </w:t>
      </w:r>
      <w:proofErr w:type="spellStart"/>
      <w:r w:rsidRPr="00E87BE8">
        <w:rPr>
          <w:i/>
          <w:iCs/>
        </w:rPr>
        <w:t>minhu</w:t>
      </w:r>
      <w:proofErr w:type="spellEnd"/>
      <w:r w:rsidRPr="00E87BE8">
        <w:rPr>
          <w:i/>
          <w:iCs/>
        </w:rPr>
        <w:t xml:space="preserve"> </w:t>
      </w:r>
      <w:proofErr w:type="spellStart"/>
      <w:r w:rsidRPr="00E87BE8">
        <w:rPr>
          <w:i/>
          <w:iCs/>
        </w:rPr>
        <w:t>f</w:t>
      </w:r>
      <w:r w:rsidR="00213524">
        <w:rPr>
          <w:rFonts w:ascii="Times Beyrut Roman" w:hAnsi="Times Beyrut Roman"/>
          <w:i/>
          <w:iCs/>
        </w:rPr>
        <w:t>ī</w:t>
      </w:r>
      <w:proofErr w:type="spellEnd"/>
      <w:r w:rsidRPr="00E87BE8">
        <w:rPr>
          <w:i/>
          <w:iCs/>
        </w:rPr>
        <w:t xml:space="preserve"> </w:t>
      </w:r>
      <w:proofErr w:type="spellStart"/>
      <w:r w:rsidRPr="00E87BE8">
        <w:rPr>
          <w:i/>
          <w:iCs/>
        </w:rPr>
        <w:t>s</w:t>
      </w:r>
      <w:r w:rsidRPr="00E87BE8">
        <w:rPr>
          <w:rFonts w:ascii="Gentium Plus" w:hAnsi="Gentium Plus"/>
          <w:i/>
          <w:iCs/>
        </w:rPr>
        <w:t>ā</w:t>
      </w:r>
      <w:r w:rsidRPr="00E87BE8">
        <w:rPr>
          <w:i/>
          <w:iCs/>
        </w:rPr>
        <w:t>ʼiri</w:t>
      </w:r>
      <w:proofErr w:type="spellEnd"/>
      <w:r w:rsidRPr="00E87BE8">
        <w:rPr>
          <w:i/>
          <w:iCs/>
        </w:rPr>
        <w:t xml:space="preserve"> l-</w:t>
      </w:r>
      <w:proofErr w:type="spellStart"/>
      <w:r w:rsidRPr="00E87BE8">
        <w:rPr>
          <w:i/>
          <w:iCs/>
        </w:rPr>
        <w:t>ʼaʻḍ</w:t>
      </w:r>
      <w:r w:rsidRPr="00E87BE8">
        <w:rPr>
          <w:rFonts w:ascii="Gentium Plus" w:hAnsi="Gentium Plus"/>
          <w:i/>
          <w:iCs/>
        </w:rPr>
        <w:t>ā</w:t>
      </w:r>
      <w:r w:rsidRPr="00E87BE8">
        <w:rPr>
          <w:i/>
          <w:iCs/>
        </w:rPr>
        <w:t>ʼi</w:t>
      </w:r>
      <w:proofErr w:type="spellEnd"/>
      <w:r w:rsidRPr="00E87BE8">
        <w:rPr>
          <w:i/>
          <w:iCs/>
        </w:rPr>
        <w:t xml:space="preserve"> </w:t>
      </w:r>
      <w:proofErr w:type="spellStart"/>
      <w:r w:rsidRPr="00E87BE8">
        <w:rPr>
          <w:i/>
          <w:iCs/>
        </w:rPr>
        <w:t>wa-l</w:t>
      </w:r>
      <w:r w:rsidRPr="00E87BE8">
        <w:rPr>
          <w:rFonts w:ascii="Gentium Plus" w:hAnsi="Gentium Plus"/>
          <w:i/>
          <w:iCs/>
        </w:rPr>
        <w:t>ā</w:t>
      </w:r>
      <w:proofErr w:type="spellEnd"/>
      <w:r w:rsidRPr="00E87BE8">
        <w:rPr>
          <w:i/>
          <w:iCs/>
        </w:rPr>
        <w:t xml:space="preserve"> </w:t>
      </w:r>
      <w:proofErr w:type="spellStart"/>
      <w:r w:rsidRPr="00E87BE8">
        <w:rPr>
          <w:i/>
          <w:iCs/>
        </w:rPr>
        <w:t>siyyam</w:t>
      </w:r>
      <w:r w:rsidRPr="00E87BE8">
        <w:rPr>
          <w:rFonts w:ascii="Gentium Plus" w:hAnsi="Gentium Plus"/>
          <w:i/>
          <w:iCs/>
        </w:rPr>
        <w:t>ā</w:t>
      </w:r>
      <w:proofErr w:type="spellEnd"/>
      <w:r w:rsidRPr="00E87BE8">
        <w:rPr>
          <w:i/>
          <w:iCs/>
        </w:rPr>
        <w:t xml:space="preserve"> mina d-</w:t>
      </w:r>
      <w:proofErr w:type="spellStart"/>
      <w:r w:rsidRPr="00E87BE8">
        <w:rPr>
          <w:i/>
          <w:iCs/>
        </w:rPr>
        <w:t>dalki</w:t>
      </w:r>
      <w:proofErr w:type="spellEnd"/>
      <w:r w:rsidRPr="00E87BE8">
        <w:rPr>
          <w:i/>
          <w:iCs/>
        </w:rPr>
        <w:t xml:space="preserve"> </w:t>
      </w:r>
      <w:r w:rsidRPr="00E87BE8">
        <w:t>(p. 54).</w:t>
      </w:r>
    </w:p>
    <w:p w:rsidR="00343182" w:rsidRDefault="00343182" w:rsidP="00E87BE8">
      <w:pPr>
        <w:pStyle w:val="NAPHText"/>
        <w:bidi w:val="0"/>
      </w:pPr>
    </w:p>
    <w:p w:rsidR="00E87BE8" w:rsidRPr="00E87BE8" w:rsidRDefault="00E87BE8" w:rsidP="00E87BE8">
      <w:pPr>
        <w:pStyle w:val="NAPHText"/>
        <w:bidi w:val="0"/>
        <w:ind w:firstLine="0"/>
      </w:pPr>
      <w:r w:rsidRPr="00E87BE8">
        <w:t>(16)</w:t>
      </w:r>
    </w:p>
    <w:p w:rsidR="00343182" w:rsidRPr="00E87BE8" w:rsidRDefault="00343182" w:rsidP="00E87BE8">
      <w:pPr>
        <w:pStyle w:val="NAPHText"/>
        <w:rPr>
          <w:rFonts w:ascii="SBL Hebrew" w:hAnsi="SBL Hebrew" w:cs="SBL Hebrew"/>
          <w:rtl/>
        </w:rPr>
      </w:pPr>
      <w:r w:rsidRPr="00E87BE8">
        <w:rPr>
          <w:rFonts w:ascii="SBL Hebrew" w:hAnsi="SBL Hebrew" w:cs="SBL Hebrew"/>
          <w:rtl/>
        </w:rPr>
        <w:lastRenderedPageBreak/>
        <w:t>וללחך מאחת מן הלחיכות, שאוכיר ממה שיעזור ברקיקה</w:t>
      </w:r>
    </w:p>
    <w:p w:rsidR="00E87BE8" w:rsidRDefault="00E87BE8" w:rsidP="00E87BE8">
      <w:pPr>
        <w:pStyle w:val="NAPHQuote"/>
        <w:bidi w:val="0"/>
        <w:rPr>
          <w:lang w:eastAsia="en-US"/>
        </w:rPr>
      </w:pPr>
    </w:p>
    <w:p w:rsidR="00343182" w:rsidRPr="00E87BE8" w:rsidRDefault="00343182" w:rsidP="00E87BE8">
      <w:pPr>
        <w:pStyle w:val="NAPHQuote"/>
        <w:bidi w:val="0"/>
        <w:rPr>
          <w:rtl/>
        </w:rPr>
      </w:pPr>
      <w:proofErr w:type="gramStart"/>
      <w:r w:rsidRPr="00E87BE8">
        <w:rPr>
          <w:lang w:eastAsia="en-US"/>
        </w:rPr>
        <w:t>and</w:t>
      </w:r>
      <w:proofErr w:type="gramEnd"/>
      <w:r w:rsidRPr="00E87BE8">
        <w:rPr>
          <w:lang w:eastAsia="en-US"/>
        </w:rPr>
        <w:t xml:space="preserve"> licking one of the </w:t>
      </w:r>
      <w:proofErr w:type="spellStart"/>
      <w:r w:rsidRPr="00E87BE8">
        <w:rPr>
          <w:lang w:eastAsia="en-US"/>
        </w:rPr>
        <w:t>linctuses</w:t>
      </w:r>
      <w:proofErr w:type="spellEnd"/>
      <w:r w:rsidRPr="00E87BE8">
        <w:rPr>
          <w:lang w:eastAsia="en-US"/>
        </w:rPr>
        <w:t xml:space="preserve"> which I will describe and which assists in expectoration</w:t>
      </w:r>
      <w:r w:rsidRPr="00E87BE8">
        <w:t xml:space="preserve"> (p. </w:t>
      </w:r>
      <w:r w:rsidR="00E87BE8" w:rsidRPr="00E87BE8">
        <w:t>26).</w:t>
      </w:r>
    </w:p>
    <w:p w:rsidR="00343182" w:rsidRPr="00E87BE8" w:rsidRDefault="00343182" w:rsidP="00E87BE8">
      <w:pPr>
        <w:pStyle w:val="NAPHQuote"/>
        <w:bidi w:val="0"/>
      </w:pPr>
      <w:proofErr w:type="spellStart"/>
      <w:proofErr w:type="gramStart"/>
      <w:r w:rsidRPr="00E87BE8">
        <w:rPr>
          <w:i/>
          <w:iCs/>
        </w:rPr>
        <w:t>wa-laʻqu</w:t>
      </w:r>
      <w:proofErr w:type="spellEnd"/>
      <w:proofErr w:type="gramEnd"/>
      <w:r w:rsidRPr="00E87BE8">
        <w:rPr>
          <w:i/>
          <w:iCs/>
        </w:rPr>
        <w:t xml:space="preserve"> </w:t>
      </w:r>
      <w:proofErr w:type="spellStart"/>
      <w:r w:rsidRPr="00E87BE8">
        <w:rPr>
          <w:i/>
          <w:iCs/>
        </w:rPr>
        <w:t>ʼaḥadi</w:t>
      </w:r>
      <w:proofErr w:type="spellEnd"/>
      <w:r w:rsidRPr="00E87BE8">
        <w:rPr>
          <w:i/>
          <w:iCs/>
        </w:rPr>
        <w:t xml:space="preserve"> l-</w:t>
      </w:r>
      <w:proofErr w:type="spellStart"/>
      <w:r w:rsidRPr="00E87BE8">
        <w:rPr>
          <w:i/>
          <w:iCs/>
        </w:rPr>
        <w:t>laʻūqāti</w:t>
      </w:r>
      <w:proofErr w:type="spellEnd"/>
      <w:r w:rsidRPr="00E87BE8">
        <w:rPr>
          <w:i/>
          <w:iCs/>
        </w:rPr>
        <w:t xml:space="preserve"> l-</w:t>
      </w:r>
      <w:proofErr w:type="spellStart"/>
      <w:r w:rsidRPr="00E87BE8">
        <w:rPr>
          <w:i/>
          <w:iCs/>
        </w:rPr>
        <w:t>lat</w:t>
      </w:r>
      <w:r w:rsidR="00213524">
        <w:rPr>
          <w:i/>
          <w:iCs/>
        </w:rPr>
        <w:t>ī</w:t>
      </w:r>
      <w:proofErr w:type="spellEnd"/>
      <w:r w:rsidRPr="00E87BE8">
        <w:rPr>
          <w:i/>
          <w:iCs/>
        </w:rPr>
        <w:t xml:space="preserve"> </w:t>
      </w:r>
      <w:proofErr w:type="spellStart"/>
      <w:r w:rsidRPr="00E87BE8">
        <w:rPr>
          <w:i/>
          <w:iCs/>
        </w:rPr>
        <w:t>sa-ʼaṣifuhā</w:t>
      </w:r>
      <w:proofErr w:type="spellEnd"/>
      <w:r w:rsidRPr="00E87BE8">
        <w:rPr>
          <w:i/>
          <w:iCs/>
        </w:rPr>
        <w:t xml:space="preserve"> </w:t>
      </w:r>
      <w:proofErr w:type="spellStart"/>
      <w:r w:rsidRPr="00E87BE8">
        <w:rPr>
          <w:i/>
          <w:iCs/>
        </w:rPr>
        <w:t>mimmā</w:t>
      </w:r>
      <w:proofErr w:type="spellEnd"/>
      <w:r w:rsidRPr="00E87BE8">
        <w:rPr>
          <w:i/>
          <w:iCs/>
        </w:rPr>
        <w:t xml:space="preserve"> </w:t>
      </w:r>
      <w:proofErr w:type="spellStart"/>
      <w:r w:rsidRPr="00E87BE8">
        <w:rPr>
          <w:i/>
          <w:iCs/>
        </w:rPr>
        <w:t>yuʻ</w:t>
      </w:r>
      <w:r w:rsidR="00213524">
        <w:rPr>
          <w:i/>
          <w:iCs/>
        </w:rPr>
        <w:t>ī</w:t>
      </w:r>
      <w:r w:rsidRPr="00E87BE8">
        <w:rPr>
          <w:i/>
          <w:iCs/>
        </w:rPr>
        <w:t>nu</w:t>
      </w:r>
      <w:proofErr w:type="spellEnd"/>
      <w:r w:rsidRPr="00E87BE8">
        <w:rPr>
          <w:i/>
          <w:iCs/>
        </w:rPr>
        <w:t xml:space="preserve"> </w:t>
      </w:r>
      <w:proofErr w:type="spellStart"/>
      <w:r w:rsidRPr="00E87BE8">
        <w:rPr>
          <w:i/>
          <w:iCs/>
        </w:rPr>
        <w:t>ʻalā</w:t>
      </w:r>
      <w:proofErr w:type="spellEnd"/>
      <w:r w:rsidRPr="00E87BE8">
        <w:rPr>
          <w:i/>
          <w:iCs/>
        </w:rPr>
        <w:t xml:space="preserve"> n-</w:t>
      </w:r>
      <w:proofErr w:type="spellStart"/>
      <w:r w:rsidRPr="00E87BE8">
        <w:rPr>
          <w:i/>
          <w:iCs/>
        </w:rPr>
        <w:t>nafṯi</w:t>
      </w:r>
      <w:proofErr w:type="spellEnd"/>
      <w:r w:rsidRPr="00E87BE8">
        <w:t xml:space="preserve"> (p. 63).</w:t>
      </w:r>
    </w:p>
    <w:p w:rsidR="00343182" w:rsidRPr="00F611BF" w:rsidRDefault="00343182" w:rsidP="00425CFF">
      <w:pPr>
        <w:pStyle w:val="NAPHText"/>
        <w:bidi w:val="0"/>
      </w:pPr>
    </w:p>
    <w:p w:rsidR="00343182" w:rsidRDefault="00343182" w:rsidP="00C931EE">
      <w:pPr>
        <w:pStyle w:val="2"/>
        <w:bidi w:val="0"/>
      </w:pPr>
      <w:r>
        <w:t>2.</w:t>
      </w:r>
      <w:r w:rsidRPr="00F611BF">
        <w:t>4.</w:t>
      </w:r>
      <w:r>
        <w:t xml:space="preserve"> Clarifying</w:t>
      </w:r>
      <w:r w:rsidRPr="00F611BF">
        <w:t xml:space="preserve"> </w:t>
      </w:r>
      <w:r>
        <w:t>and D</w:t>
      </w:r>
      <w:r w:rsidRPr="00F611BF">
        <w:t>escriptive</w:t>
      </w:r>
      <w:r w:rsidRPr="00C931EE">
        <w:rPr>
          <w:rFonts w:ascii="SBL Hebrew" w:hAnsi="SBL Hebrew" w:cs="SBL Hebrew"/>
          <w:rtl/>
        </w:rPr>
        <w:t>מִ</w:t>
      </w:r>
      <w:proofErr w:type="gramStart"/>
      <w:r w:rsidRPr="00C931EE">
        <w:rPr>
          <w:rFonts w:ascii="SBL Hebrew" w:hAnsi="SBL Hebrew" w:cs="SBL Hebrew"/>
          <w:rtl/>
        </w:rPr>
        <w:t>ן</w:t>
      </w:r>
      <w:r w:rsidRPr="00F611BF">
        <w:rPr>
          <w:rtl/>
        </w:rPr>
        <w:t xml:space="preserve"> </w:t>
      </w:r>
      <w:r>
        <w:t xml:space="preserve"> in</w:t>
      </w:r>
      <w:proofErr w:type="gramEnd"/>
      <w:r>
        <w:t xml:space="preserve"> the Expression of R</w:t>
      </w:r>
      <w:r w:rsidRPr="00F611BF">
        <w:t xml:space="preserve">elative </w:t>
      </w:r>
      <w:r>
        <w:t>C</w:t>
      </w:r>
      <w:r w:rsidR="00C931EE">
        <w:t>lauses</w:t>
      </w:r>
    </w:p>
    <w:p w:rsidR="00C931EE" w:rsidRPr="00C931EE" w:rsidRDefault="00C931EE" w:rsidP="00487F4E">
      <w:pPr>
        <w:pStyle w:val="NAPHText"/>
        <w:bidi w:val="0"/>
        <w:spacing w:line="240" w:lineRule="exact"/>
      </w:pPr>
    </w:p>
    <w:p w:rsidR="00343182" w:rsidRDefault="00343182" w:rsidP="00213524">
      <w:pPr>
        <w:pStyle w:val="NAPHText"/>
        <w:bidi w:val="0"/>
      </w:pPr>
      <w:r>
        <w:t xml:space="preserve">In Arabic, </w:t>
      </w:r>
      <w:r>
        <w:rPr>
          <w:rFonts w:cs="SBL Hebrew"/>
          <w:i/>
          <w:iCs/>
        </w:rPr>
        <w:t>min</w:t>
      </w:r>
      <w:r w:rsidRPr="00F611BF">
        <w:rPr>
          <w:rFonts w:cs="SBL Hebrew"/>
          <w:rtl/>
        </w:rPr>
        <w:t xml:space="preserve"> </w:t>
      </w:r>
      <w:r w:rsidRPr="00F611BF">
        <w:rPr>
          <w:rFonts w:cs="SBL Hebrew"/>
        </w:rPr>
        <w:t xml:space="preserve">is used </w:t>
      </w:r>
      <w:r>
        <w:t xml:space="preserve">to clarify </w:t>
      </w:r>
      <w:r w:rsidRPr="00F611BF">
        <w:t>a general issue</w:t>
      </w:r>
      <w:r>
        <w:t>, elaborate on it, or analyze it</w:t>
      </w:r>
      <w:r w:rsidRPr="00F611BF">
        <w:t xml:space="preserve">. It appears in Arabic to express a relative clause with the structure </w:t>
      </w:r>
      <w:proofErr w:type="spellStart"/>
      <w:r>
        <w:rPr>
          <w:rFonts w:cs="SBL Hebrew"/>
          <w:i/>
          <w:iCs/>
        </w:rPr>
        <w:t>m</w:t>
      </w:r>
      <w:r>
        <w:rPr>
          <w:i/>
          <w:iCs/>
        </w:rPr>
        <w:t>ā</w:t>
      </w:r>
      <w:proofErr w:type="spellEnd"/>
      <w:r w:rsidR="00425CFF">
        <w:rPr>
          <w:rFonts w:cs="SBL Hebrew"/>
          <w:i/>
          <w:iCs/>
        </w:rPr>
        <w:t>…</w:t>
      </w:r>
      <w:r>
        <w:rPr>
          <w:rFonts w:cs="SBL Hebrew"/>
          <w:i/>
          <w:iCs/>
        </w:rPr>
        <w:t>min</w:t>
      </w:r>
      <w:r>
        <w:rPr>
          <w:rFonts w:cs="SBL Hebrew"/>
        </w:rPr>
        <w:t xml:space="preserve"> of </w:t>
      </w:r>
      <w:r w:rsidRPr="00F611BF">
        <w:rPr>
          <w:rFonts w:cs="SBL Hebrew"/>
        </w:rPr>
        <w:t xml:space="preserve">inanimate objects and </w:t>
      </w:r>
      <w:r>
        <w:rPr>
          <w:rFonts w:cs="SBL Hebrew"/>
          <w:i/>
          <w:iCs/>
        </w:rPr>
        <w:t>m</w:t>
      </w:r>
      <w:r w:rsidR="00213524">
        <w:rPr>
          <w:i/>
          <w:iCs/>
        </w:rPr>
        <w:t>a</w:t>
      </w:r>
      <w:r w:rsidR="00425CFF">
        <w:rPr>
          <w:rFonts w:cs="SBL Hebrew"/>
          <w:i/>
          <w:iCs/>
        </w:rPr>
        <w:t>n…</w:t>
      </w:r>
      <w:r>
        <w:rPr>
          <w:rFonts w:cs="SBL Hebrew"/>
          <w:i/>
          <w:iCs/>
        </w:rPr>
        <w:t>min</w:t>
      </w:r>
      <w:r w:rsidRPr="00F611BF">
        <w:rPr>
          <w:rFonts w:cs="SBL Hebrew"/>
          <w:lang w:eastAsia="ar-AE" w:bidi="ar-AE"/>
        </w:rPr>
        <w:t xml:space="preserve"> </w:t>
      </w:r>
      <w:r>
        <w:rPr>
          <w:rFonts w:cs="SBL Hebrew"/>
          <w:lang w:eastAsia="ar-AE" w:bidi="ar-AE"/>
        </w:rPr>
        <w:t>of humans and other living beings</w:t>
      </w:r>
      <w:r w:rsidRPr="00F611BF">
        <w:t>. For example:</w:t>
      </w:r>
    </w:p>
    <w:p w:rsidR="00425CFF" w:rsidRPr="00F611BF" w:rsidRDefault="00425CFF" w:rsidP="00425CFF">
      <w:pPr>
        <w:pStyle w:val="NAPHText"/>
        <w:bidi w:val="0"/>
      </w:pPr>
    </w:p>
    <w:p w:rsidR="00615578" w:rsidRPr="00B97E07" w:rsidRDefault="00B97E07" w:rsidP="000C16F7">
      <w:pPr>
        <w:pStyle w:val="NAPHQuote"/>
        <w:bidi w:val="0"/>
        <w:rPr>
          <w:i/>
          <w:iCs/>
          <w:sz w:val="28"/>
          <w:szCs w:val="28"/>
        </w:rPr>
      </w:pPr>
      <w:proofErr w:type="spellStart"/>
      <w:r w:rsidRPr="00B97E07">
        <w:rPr>
          <w:i/>
          <w:iCs/>
          <w:sz w:val="28"/>
          <w:szCs w:val="28"/>
        </w:rPr>
        <w:t>ʼaʻ</w:t>
      </w:r>
      <w:r w:rsidR="000C16F7">
        <w:rPr>
          <w:i/>
          <w:iCs/>
          <w:sz w:val="28"/>
          <w:szCs w:val="28"/>
        </w:rPr>
        <w:t>ṭ</w:t>
      </w:r>
      <w:r w:rsidRPr="00B97E07">
        <w:rPr>
          <w:i/>
          <w:iCs/>
          <w:sz w:val="28"/>
          <w:szCs w:val="28"/>
        </w:rPr>
        <w:t>ā</w:t>
      </w:r>
      <w:proofErr w:type="spellEnd"/>
      <w:r w:rsidRPr="00B97E07">
        <w:rPr>
          <w:i/>
          <w:iCs/>
          <w:sz w:val="28"/>
          <w:szCs w:val="28"/>
        </w:rPr>
        <w:t xml:space="preserve"> li-</w:t>
      </w:r>
      <w:proofErr w:type="spellStart"/>
      <w:r w:rsidRPr="00B97E07">
        <w:rPr>
          <w:i/>
          <w:iCs/>
          <w:sz w:val="28"/>
          <w:szCs w:val="28"/>
        </w:rPr>
        <w:t>ğārihi</w:t>
      </w:r>
      <w:proofErr w:type="spellEnd"/>
      <w:r w:rsidRPr="00B97E07">
        <w:rPr>
          <w:i/>
          <w:iCs/>
          <w:sz w:val="28"/>
          <w:szCs w:val="28"/>
        </w:rPr>
        <w:t xml:space="preserve"> l-</w:t>
      </w:r>
      <w:proofErr w:type="spellStart"/>
      <w:r w:rsidRPr="00B97E07">
        <w:rPr>
          <w:i/>
          <w:iCs/>
          <w:sz w:val="28"/>
          <w:szCs w:val="28"/>
        </w:rPr>
        <w:t>māla</w:t>
      </w:r>
      <w:proofErr w:type="spellEnd"/>
      <w:r w:rsidRPr="00B97E07">
        <w:rPr>
          <w:i/>
          <w:iCs/>
          <w:sz w:val="28"/>
          <w:szCs w:val="28"/>
        </w:rPr>
        <w:t xml:space="preserve"> l-</w:t>
      </w:r>
      <w:proofErr w:type="spellStart"/>
      <w:r w:rsidRPr="00B97E07">
        <w:rPr>
          <w:i/>
          <w:iCs/>
          <w:sz w:val="28"/>
          <w:szCs w:val="28"/>
        </w:rPr>
        <w:t>la</w:t>
      </w:r>
      <w:r w:rsidR="000C16F7">
        <w:rPr>
          <w:i/>
          <w:iCs/>
          <w:sz w:val="28"/>
          <w:szCs w:val="28"/>
        </w:rPr>
        <w:t>ḏ</w:t>
      </w:r>
      <w:r w:rsidRPr="00B97E07">
        <w:rPr>
          <w:i/>
          <w:iCs/>
          <w:sz w:val="28"/>
          <w:szCs w:val="28"/>
        </w:rPr>
        <w:t>ī</w:t>
      </w:r>
      <w:proofErr w:type="spellEnd"/>
      <w:r w:rsidRPr="00B97E07">
        <w:rPr>
          <w:i/>
          <w:iCs/>
          <w:sz w:val="28"/>
          <w:szCs w:val="28"/>
        </w:rPr>
        <w:t xml:space="preserve"> </w:t>
      </w:r>
      <w:proofErr w:type="spellStart"/>
      <w:r w:rsidRPr="00B97E07">
        <w:rPr>
          <w:i/>
          <w:iCs/>
          <w:sz w:val="28"/>
          <w:szCs w:val="28"/>
        </w:rPr>
        <w:t>yamlikahu</w:t>
      </w:r>
      <w:proofErr w:type="spellEnd"/>
      <w:r w:rsidRPr="00B97E07">
        <w:rPr>
          <w:i/>
          <w:iCs/>
          <w:sz w:val="28"/>
          <w:szCs w:val="28"/>
        </w:rPr>
        <w:t xml:space="preserve"> = </w:t>
      </w:r>
      <w:proofErr w:type="spellStart"/>
      <w:r w:rsidRPr="00B97E07">
        <w:rPr>
          <w:i/>
          <w:iCs/>
          <w:sz w:val="28"/>
          <w:szCs w:val="28"/>
        </w:rPr>
        <w:t>ʼaʻ</w:t>
      </w:r>
      <w:r w:rsidR="000C16F7">
        <w:rPr>
          <w:i/>
          <w:iCs/>
          <w:sz w:val="28"/>
          <w:szCs w:val="28"/>
        </w:rPr>
        <w:t>ṭ</w:t>
      </w:r>
      <w:bookmarkStart w:id="2" w:name="_GoBack"/>
      <w:bookmarkEnd w:id="2"/>
      <w:r w:rsidRPr="00B97E07">
        <w:rPr>
          <w:i/>
          <w:iCs/>
          <w:sz w:val="28"/>
          <w:szCs w:val="28"/>
        </w:rPr>
        <w:t>ā</w:t>
      </w:r>
      <w:proofErr w:type="spellEnd"/>
      <w:r w:rsidRPr="00B97E07">
        <w:rPr>
          <w:i/>
          <w:iCs/>
          <w:sz w:val="28"/>
          <w:szCs w:val="28"/>
        </w:rPr>
        <w:t xml:space="preserve"> </w:t>
      </w:r>
      <w:proofErr w:type="spellStart"/>
      <w:r w:rsidRPr="00B97E07">
        <w:rPr>
          <w:i/>
          <w:iCs/>
          <w:sz w:val="28"/>
          <w:szCs w:val="28"/>
        </w:rPr>
        <w:t>ğārahu</w:t>
      </w:r>
      <w:proofErr w:type="spellEnd"/>
      <w:r w:rsidRPr="00B97E07">
        <w:rPr>
          <w:i/>
          <w:iCs/>
          <w:sz w:val="28"/>
          <w:szCs w:val="28"/>
        </w:rPr>
        <w:t xml:space="preserve"> </w:t>
      </w:r>
      <w:proofErr w:type="spellStart"/>
      <w:r w:rsidRPr="00B97E07">
        <w:rPr>
          <w:i/>
          <w:iCs/>
          <w:sz w:val="28"/>
          <w:szCs w:val="28"/>
        </w:rPr>
        <w:t>mā</w:t>
      </w:r>
      <w:proofErr w:type="spellEnd"/>
      <w:r w:rsidRPr="00B97E07">
        <w:rPr>
          <w:i/>
          <w:iCs/>
          <w:sz w:val="28"/>
          <w:szCs w:val="28"/>
        </w:rPr>
        <w:t xml:space="preserve"> </w:t>
      </w:r>
      <w:proofErr w:type="spellStart"/>
      <w:r w:rsidRPr="00B97E07">
        <w:rPr>
          <w:i/>
          <w:iCs/>
          <w:sz w:val="28"/>
          <w:szCs w:val="28"/>
        </w:rPr>
        <w:t>yamliku</w:t>
      </w:r>
      <w:proofErr w:type="spellEnd"/>
      <w:r w:rsidRPr="00B97E07">
        <w:rPr>
          <w:i/>
          <w:iCs/>
          <w:sz w:val="28"/>
          <w:szCs w:val="28"/>
        </w:rPr>
        <w:t xml:space="preserve"> min </w:t>
      </w:r>
      <w:proofErr w:type="spellStart"/>
      <w:r w:rsidRPr="00B97E07">
        <w:rPr>
          <w:i/>
          <w:iCs/>
          <w:sz w:val="28"/>
          <w:szCs w:val="28"/>
        </w:rPr>
        <w:t>mā</w:t>
      </w:r>
      <w:r>
        <w:rPr>
          <w:i/>
          <w:iCs/>
          <w:sz w:val="28"/>
          <w:szCs w:val="28"/>
        </w:rPr>
        <w:t>l</w:t>
      </w:r>
      <w:proofErr w:type="spellEnd"/>
    </w:p>
    <w:p w:rsidR="00B97E07" w:rsidRPr="00B97E07" w:rsidRDefault="00B97E07" w:rsidP="00B97E07">
      <w:pPr>
        <w:pStyle w:val="NAPHQuote"/>
        <w:bidi w:val="0"/>
      </w:pPr>
    </w:p>
    <w:p w:rsidR="00615578" w:rsidRDefault="00213524" w:rsidP="00213524">
      <w:pPr>
        <w:pStyle w:val="NAPHQuote"/>
        <w:bidi w:val="0"/>
        <w:rPr>
          <w:rFonts w:cs="David"/>
        </w:rPr>
      </w:pPr>
      <w:r>
        <w:rPr>
          <w:rFonts w:cs="David"/>
        </w:rPr>
        <w:t xml:space="preserve">He gave his neighbor the money that he has = He gave his neighbor what money he has.  </w:t>
      </w:r>
    </w:p>
    <w:p w:rsidR="00213524" w:rsidRPr="00213524" w:rsidRDefault="00213524" w:rsidP="00487F4E">
      <w:pPr>
        <w:pStyle w:val="NAPHText"/>
        <w:bidi w:val="0"/>
        <w:spacing w:line="240" w:lineRule="exact"/>
        <w:rPr>
          <w:highlight w:val="yellow"/>
          <w:rtl/>
        </w:rPr>
      </w:pPr>
    </w:p>
    <w:p w:rsidR="00615578" w:rsidRPr="00B97E07" w:rsidRDefault="00B97E07" w:rsidP="000C16F7">
      <w:pPr>
        <w:pStyle w:val="NAPHQuote"/>
        <w:bidi w:val="0"/>
        <w:rPr>
          <w:i/>
          <w:iCs/>
          <w:sz w:val="28"/>
          <w:szCs w:val="28"/>
        </w:rPr>
      </w:pPr>
      <w:proofErr w:type="spellStart"/>
      <w:proofErr w:type="gramStart"/>
      <w:r w:rsidRPr="00B97E07">
        <w:rPr>
          <w:i/>
          <w:iCs/>
          <w:sz w:val="28"/>
          <w:szCs w:val="28"/>
        </w:rPr>
        <w:t>raʼaytu</w:t>
      </w:r>
      <w:proofErr w:type="spellEnd"/>
      <w:proofErr w:type="gramEnd"/>
      <w:r w:rsidRPr="00B97E07">
        <w:rPr>
          <w:i/>
          <w:iCs/>
          <w:sz w:val="28"/>
          <w:szCs w:val="28"/>
        </w:rPr>
        <w:t xml:space="preserve"> r-</w:t>
      </w:r>
      <w:proofErr w:type="spellStart"/>
      <w:r w:rsidRPr="00B97E07">
        <w:rPr>
          <w:i/>
          <w:iCs/>
          <w:sz w:val="28"/>
          <w:szCs w:val="28"/>
        </w:rPr>
        <w:t>riğāla</w:t>
      </w:r>
      <w:proofErr w:type="spellEnd"/>
      <w:r w:rsidRPr="00B97E07">
        <w:rPr>
          <w:i/>
          <w:iCs/>
          <w:sz w:val="28"/>
          <w:szCs w:val="28"/>
        </w:rPr>
        <w:t xml:space="preserve"> l-</w:t>
      </w:r>
      <w:proofErr w:type="spellStart"/>
      <w:r w:rsidRPr="00B97E07">
        <w:rPr>
          <w:i/>
          <w:iCs/>
          <w:sz w:val="28"/>
          <w:szCs w:val="28"/>
        </w:rPr>
        <w:t>la</w:t>
      </w:r>
      <w:r w:rsidR="000C16F7">
        <w:rPr>
          <w:i/>
          <w:iCs/>
          <w:sz w:val="28"/>
          <w:szCs w:val="28"/>
        </w:rPr>
        <w:t>ḏ</w:t>
      </w:r>
      <w:r w:rsidRPr="00B97E07">
        <w:rPr>
          <w:i/>
          <w:iCs/>
          <w:sz w:val="28"/>
          <w:szCs w:val="28"/>
        </w:rPr>
        <w:t>īna</w:t>
      </w:r>
      <w:proofErr w:type="spellEnd"/>
      <w:r w:rsidRPr="00B97E07">
        <w:rPr>
          <w:i/>
          <w:iCs/>
          <w:sz w:val="28"/>
          <w:szCs w:val="28"/>
        </w:rPr>
        <w:t xml:space="preserve"> </w:t>
      </w:r>
      <w:proofErr w:type="spellStart"/>
      <w:r w:rsidRPr="00B97E07">
        <w:rPr>
          <w:i/>
          <w:iCs/>
          <w:sz w:val="28"/>
          <w:szCs w:val="28"/>
        </w:rPr>
        <w:t>qadimū</w:t>
      </w:r>
      <w:proofErr w:type="spellEnd"/>
      <w:r w:rsidRPr="00B97E07">
        <w:rPr>
          <w:i/>
          <w:iCs/>
          <w:sz w:val="28"/>
          <w:szCs w:val="28"/>
        </w:rPr>
        <w:t xml:space="preserve"> = </w:t>
      </w:r>
      <w:proofErr w:type="spellStart"/>
      <w:r w:rsidRPr="00B97E07">
        <w:rPr>
          <w:i/>
          <w:iCs/>
          <w:sz w:val="28"/>
          <w:szCs w:val="28"/>
        </w:rPr>
        <w:t>raʼaytu</w:t>
      </w:r>
      <w:proofErr w:type="spellEnd"/>
      <w:r w:rsidRPr="00B97E07">
        <w:rPr>
          <w:i/>
          <w:iCs/>
          <w:sz w:val="28"/>
          <w:szCs w:val="28"/>
        </w:rPr>
        <w:t xml:space="preserve"> man </w:t>
      </w:r>
      <w:proofErr w:type="spellStart"/>
      <w:r w:rsidRPr="00B97E07">
        <w:rPr>
          <w:i/>
          <w:iCs/>
          <w:sz w:val="28"/>
          <w:szCs w:val="28"/>
        </w:rPr>
        <w:t>qadima</w:t>
      </w:r>
      <w:proofErr w:type="spellEnd"/>
      <w:r w:rsidRPr="00B97E07">
        <w:rPr>
          <w:i/>
          <w:iCs/>
          <w:sz w:val="28"/>
          <w:szCs w:val="28"/>
        </w:rPr>
        <w:t xml:space="preserve"> mina r-</w:t>
      </w:r>
      <w:proofErr w:type="spellStart"/>
      <w:r w:rsidRPr="00B97E07">
        <w:rPr>
          <w:i/>
          <w:iCs/>
          <w:sz w:val="28"/>
          <w:szCs w:val="28"/>
        </w:rPr>
        <w:t>riğāli</w:t>
      </w:r>
      <w:proofErr w:type="spellEnd"/>
    </w:p>
    <w:p w:rsidR="00B97E07" w:rsidRPr="00B97E07" w:rsidRDefault="00B97E07" w:rsidP="00B97E07">
      <w:pPr>
        <w:pStyle w:val="NAPHQuote"/>
        <w:bidi w:val="0"/>
        <w:rPr>
          <w:highlight w:val="yellow"/>
        </w:rPr>
      </w:pPr>
    </w:p>
    <w:p w:rsidR="00343182" w:rsidRPr="00213524" w:rsidRDefault="00213524" w:rsidP="00213524">
      <w:pPr>
        <w:pStyle w:val="NAPHQuote"/>
        <w:bidi w:val="0"/>
      </w:pPr>
      <w:r w:rsidRPr="00213524">
        <w:t>I saw the men who came = I saw the men who came.</w:t>
      </w:r>
    </w:p>
    <w:p w:rsidR="00425CFF" w:rsidRPr="005C6C9A" w:rsidRDefault="00425CFF" w:rsidP="00425CFF">
      <w:pPr>
        <w:pStyle w:val="NAPHText"/>
        <w:bidi w:val="0"/>
      </w:pPr>
    </w:p>
    <w:p w:rsidR="00343182" w:rsidRPr="00425CFF" w:rsidRDefault="00343182" w:rsidP="00425CFF">
      <w:pPr>
        <w:pStyle w:val="NAPHText"/>
        <w:bidi w:val="0"/>
      </w:pPr>
      <w:r w:rsidRPr="00425CFF">
        <w:t xml:space="preserve">In Biblical and </w:t>
      </w:r>
      <w:proofErr w:type="spellStart"/>
      <w:r w:rsidRPr="00425CFF">
        <w:t>Mishnaic</w:t>
      </w:r>
      <w:proofErr w:type="spellEnd"/>
      <w:r w:rsidRPr="00425CFF">
        <w:t xml:space="preserve"> Hebrew, there is no similar structure for expressing a relative clause. However, such a structure does exist in </w:t>
      </w:r>
      <w:r w:rsidR="00425CFF">
        <w:t>M</w:t>
      </w:r>
      <w:r w:rsidRPr="00425CFF">
        <w:t>edieval Hebrew, as a direct consequence of intermingling with Arabic at that time</w:t>
      </w:r>
      <w:r w:rsidR="00425CFF">
        <w:t>.</w:t>
      </w:r>
      <w:r w:rsidRPr="00425CFF">
        <w:rPr>
          <w:rStyle w:val="a9"/>
        </w:rPr>
        <w:footnoteReference w:id="16"/>
      </w:r>
      <w:r w:rsidRPr="00425CFF">
        <w:t xml:space="preserve"> The translator</w:t>
      </w:r>
      <w:r w:rsidR="00425CFF">
        <w:t>’</w:t>
      </w:r>
      <w:r w:rsidRPr="00425CFF">
        <w:t>s decision to use the clarifying and descriptive</w:t>
      </w:r>
      <w:r w:rsidRPr="00425CFF">
        <w:rPr>
          <w:rFonts w:ascii="SBL Hebrew" w:hAnsi="SBL Hebrew" w:cs="SBL Hebrew"/>
          <w:rtl/>
        </w:rPr>
        <w:t>מִ</w:t>
      </w:r>
      <w:proofErr w:type="gramStart"/>
      <w:r w:rsidRPr="00425CFF">
        <w:rPr>
          <w:rFonts w:ascii="SBL Hebrew" w:hAnsi="SBL Hebrew" w:cs="SBL Hebrew"/>
          <w:rtl/>
        </w:rPr>
        <w:t>ן</w:t>
      </w:r>
      <w:r w:rsidRPr="00425CFF">
        <w:rPr>
          <w:rtl/>
        </w:rPr>
        <w:t xml:space="preserve"> </w:t>
      </w:r>
      <w:r w:rsidRPr="00425CFF">
        <w:t xml:space="preserve"> in</w:t>
      </w:r>
      <w:proofErr w:type="gramEnd"/>
      <w:r w:rsidRPr="00425CFF">
        <w:t xml:space="preserve"> the Hebrew version of the </w:t>
      </w:r>
      <w:r w:rsidRPr="00425CFF">
        <w:rPr>
          <w:i/>
          <w:iCs/>
        </w:rPr>
        <w:t xml:space="preserve">Treatise on Asthma </w:t>
      </w:r>
      <w:r w:rsidRPr="00425CFF">
        <w:t>thus definitely points to the direct influence of Arabic. For example:</w:t>
      </w:r>
    </w:p>
    <w:p w:rsidR="00343182" w:rsidRDefault="00343182" w:rsidP="00425CFF">
      <w:pPr>
        <w:pStyle w:val="NAPHText"/>
        <w:bidi w:val="0"/>
      </w:pPr>
    </w:p>
    <w:p w:rsidR="00425CFF" w:rsidRPr="00425CFF" w:rsidRDefault="00425CFF" w:rsidP="00425CFF">
      <w:pPr>
        <w:pStyle w:val="NAPHText"/>
        <w:bidi w:val="0"/>
        <w:ind w:firstLine="0"/>
        <w:rPr>
          <w:rtl/>
        </w:rPr>
      </w:pPr>
      <w:r w:rsidRPr="00425CFF">
        <w:t>(17)</w:t>
      </w:r>
    </w:p>
    <w:p w:rsidR="00343182" w:rsidRPr="00425CFF" w:rsidRDefault="00343182" w:rsidP="00425CFF">
      <w:pPr>
        <w:pStyle w:val="NAPHText"/>
        <w:rPr>
          <w:rFonts w:ascii="SBL Hebrew" w:hAnsi="SBL Hebrew" w:cs="SBL Hebrew"/>
          <w:rtl/>
        </w:rPr>
      </w:pPr>
      <w:r w:rsidRPr="00425CFF">
        <w:rPr>
          <w:rFonts w:ascii="SBL Hebrew" w:hAnsi="SBL Hebrew" w:cs="SBL Hebrew"/>
          <w:rtl/>
        </w:rPr>
        <w:t>וכל מה שדרכו מן המטעמים שיושם בו</w:t>
      </w:r>
    </w:p>
    <w:p w:rsidR="00425CFF" w:rsidRPr="00425CFF" w:rsidRDefault="00425CFF" w:rsidP="00425CFF">
      <w:pPr>
        <w:pStyle w:val="NAPHQuote"/>
        <w:bidi w:val="0"/>
        <w:rPr>
          <w:lang w:eastAsia="en-US"/>
        </w:rPr>
      </w:pPr>
    </w:p>
    <w:p w:rsidR="00343182" w:rsidRPr="00425CFF" w:rsidRDefault="00343182" w:rsidP="00425CFF">
      <w:pPr>
        <w:pStyle w:val="NAPHQuote"/>
        <w:bidi w:val="0"/>
        <w:rPr>
          <w:rtl/>
        </w:rPr>
      </w:pPr>
      <w:r w:rsidRPr="00425CFF">
        <w:rPr>
          <w:lang w:eastAsia="en-US"/>
        </w:rPr>
        <w:t>And every dish to which one is accustomed to adding</w:t>
      </w:r>
      <w:r w:rsidRPr="00425CFF">
        <w:t xml:space="preserve"> (p. 10</w:t>
      </w:r>
      <w:r w:rsidR="00425CFF">
        <w:t>).</w:t>
      </w:r>
    </w:p>
    <w:p w:rsidR="00343182" w:rsidRPr="00425CFF" w:rsidRDefault="00343182" w:rsidP="00425CFF">
      <w:pPr>
        <w:pStyle w:val="NAPHQuote"/>
        <w:bidi w:val="0"/>
      </w:pPr>
      <w:proofErr w:type="spellStart"/>
      <w:proofErr w:type="gramStart"/>
      <w:r w:rsidRPr="00425CFF">
        <w:rPr>
          <w:i/>
          <w:iCs/>
        </w:rPr>
        <w:t>wa-kullu</w:t>
      </w:r>
      <w:proofErr w:type="spellEnd"/>
      <w:proofErr w:type="gramEnd"/>
      <w:r w:rsidRPr="00425CFF">
        <w:rPr>
          <w:i/>
          <w:iCs/>
        </w:rPr>
        <w:t xml:space="preserve"> </w:t>
      </w:r>
      <w:proofErr w:type="spellStart"/>
      <w:r w:rsidRPr="00425CFF">
        <w:rPr>
          <w:i/>
          <w:iCs/>
        </w:rPr>
        <w:t>mā</w:t>
      </w:r>
      <w:proofErr w:type="spellEnd"/>
      <w:r w:rsidRPr="00425CFF">
        <w:rPr>
          <w:i/>
          <w:iCs/>
        </w:rPr>
        <w:t xml:space="preserve"> </w:t>
      </w:r>
      <w:proofErr w:type="spellStart"/>
      <w:r w:rsidRPr="00425CFF">
        <w:rPr>
          <w:i/>
          <w:iCs/>
        </w:rPr>
        <w:t>šaʼnuhu</w:t>
      </w:r>
      <w:proofErr w:type="spellEnd"/>
      <w:r w:rsidRPr="00425CFF">
        <w:rPr>
          <w:i/>
          <w:iCs/>
        </w:rPr>
        <w:t xml:space="preserve"> mina l-</w:t>
      </w:r>
      <w:proofErr w:type="spellStart"/>
      <w:r w:rsidRPr="00425CFF">
        <w:rPr>
          <w:i/>
          <w:iCs/>
        </w:rPr>
        <w:t>ʼalwāni</w:t>
      </w:r>
      <w:proofErr w:type="spellEnd"/>
      <w:r w:rsidRPr="00425CFF">
        <w:rPr>
          <w:i/>
          <w:iCs/>
        </w:rPr>
        <w:t xml:space="preserve"> </w:t>
      </w:r>
      <w:proofErr w:type="spellStart"/>
      <w:r w:rsidRPr="00425CFF">
        <w:rPr>
          <w:i/>
          <w:iCs/>
        </w:rPr>
        <w:t>ʼan</w:t>
      </w:r>
      <w:proofErr w:type="spellEnd"/>
      <w:r w:rsidRPr="00425CFF">
        <w:rPr>
          <w:i/>
          <w:iCs/>
        </w:rPr>
        <w:t xml:space="preserve"> </w:t>
      </w:r>
      <w:proofErr w:type="spellStart"/>
      <w:r w:rsidRPr="00425CFF">
        <w:rPr>
          <w:i/>
          <w:iCs/>
        </w:rPr>
        <w:t>yalqā</w:t>
      </w:r>
      <w:proofErr w:type="spellEnd"/>
      <w:r w:rsidRPr="00425CFF">
        <w:rPr>
          <w:i/>
          <w:iCs/>
        </w:rPr>
        <w:t xml:space="preserve"> </w:t>
      </w:r>
      <w:proofErr w:type="spellStart"/>
      <w:r w:rsidRPr="00425CFF">
        <w:rPr>
          <w:i/>
          <w:iCs/>
        </w:rPr>
        <w:t>f</w:t>
      </w:r>
      <w:r w:rsidR="00213524">
        <w:rPr>
          <w:i/>
          <w:iCs/>
        </w:rPr>
        <w:t>ī</w:t>
      </w:r>
      <w:r w:rsidRPr="00425CFF">
        <w:rPr>
          <w:i/>
          <w:iCs/>
        </w:rPr>
        <w:t>hi</w:t>
      </w:r>
      <w:proofErr w:type="spellEnd"/>
      <w:r w:rsidRPr="00425CFF">
        <w:t xml:space="preserve"> (p. 22).</w:t>
      </w:r>
    </w:p>
    <w:p w:rsidR="00343182" w:rsidRDefault="00343182" w:rsidP="00425CFF">
      <w:pPr>
        <w:pStyle w:val="NAPHText"/>
        <w:bidi w:val="0"/>
      </w:pPr>
    </w:p>
    <w:p w:rsidR="00B97E07" w:rsidRDefault="00B97E07">
      <w:pPr>
        <w:suppressAutoHyphens w:val="0"/>
        <w:bidi w:val="0"/>
        <w:spacing w:after="160" w:line="259" w:lineRule="auto"/>
        <w:rPr>
          <w:rFonts w:cs="Times New Roman"/>
          <w:sz w:val="28"/>
          <w:szCs w:val="28"/>
        </w:rPr>
      </w:pPr>
      <w:r>
        <w:br w:type="page"/>
      </w:r>
    </w:p>
    <w:p w:rsidR="00425CFF" w:rsidRPr="00425CFF" w:rsidRDefault="00425CFF" w:rsidP="00425CFF">
      <w:pPr>
        <w:pStyle w:val="NAPHText"/>
        <w:bidi w:val="0"/>
        <w:ind w:firstLine="0"/>
      </w:pPr>
      <w:r w:rsidRPr="00425CFF">
        <w:lastRenderedPageBreak/>
        <w:t>(18)</w:t>
      </w:r>
    </w:p>
    <w:p w:rsidR="00343182" w:rsidRPr="00425CFF" w:rsidRDefault="00343182" w:rsidP="00425CFF">
      <w:pPr>
        <w:pStyle w:val="NAPHText"/>
        <w:rPr>
          <w:rFonts w:ascii="SBL Hebrew" w:hAnsi="SBL Hebrew" w:cs="SBL Hebrew"/>
          <w:rtl/>
        </w:rPr>
      </w:pPr>
      <w:r w:rsidRPr="00425CFF">
        <w:rPr>
          <w:rFonts w:ascii="SBL Hebrew" w:hAnsi="SBL Hebrew" w:cs="SBL Hebrew"/>
          <w:rtl/>
        </w:rPr>
        <w:t xml:space="preserve">ואין זה כוונת המאמר אחרי שחברו הרופאים בכל חולי מה שצריך אליו מזה </w:t>
      </w:r>
    </w:p>
    <w:p w:rsidR="00425CFF" w:rsidRDefault="00425CFF" w:rsidP="00425CFF">
      <w:pPr>
        <w:pStyle w:val="NAPHQuote"/>
        <w:bidi w:val="0"/>
        <w:rPr>
          <w:lang w:eastAsia="en-US"/>
        </w:rPr>
      </w:pPr>
    </w:p>
    <w:p w:rsidR="00343182" w:rsidRPr="005C6C9A" w:rsidRDefault="00343182" w:rsidP="00425CFF">
      <w:pPr>
        <w:pStyle w:val="NAPHQuote"/>
        <w:bidi w:val="0"/>
        <w:rPr>
          <w:rtl/>
        </w:rPr>
      </w:pPr>
      <w:r w:rsidRPr="00F611BF">
        <w:rPr>
          <w:lang w:eastAsia="en-US"/>
        </w:rPr>
        <w:t>But this is not the purpose of this treatise, since the physicians have already laid down for every disease all that is necessary in this respect</w:t>
      </w:r>
      <w:r>
        <w:t xml:space="preserve"> (p. </w:t>
      </w:r>
      <w:r w:rsidRPr="00F611BF">
        <w:t>1</w:t>
      </w:r>
      <w:r w:rsidR="00425CFF">
        <w:t>).</w:t>
      </w:r>
    </w:p>
    <w:p w:rsidR="00343182" w:rsidRPr="00425CFF" w:rsidRDefault="00343182" w:rsidP="00425CFF">
      <w:pPr>
        <w:pStyle w:val="NAPHQuote"/>
        <w:bidi w:val="0"/>
      </w:pPr>
      <w:proofErr w:type="spellStart"/>
      <w:proofErr w:type="gramStart"/>
      <w:r w:rsidRPr="00425CFF">
        <w:rPr>
          <w:i/>
          <w:iCs/>
        </w:rPr>
        <w:t>wa-laysa</w:t>
      </w:r>
      <w:proofErr w:type="spellEnd"/>
      <w:proofErr w:type="gramEnd"/>
      <w:r w:rsidRPr="00425CFF">
        <w:rPr>
          <w:i/>
          <w:iCs/>
        </w:rPr>
        <w:t xml:space="preserve"> </w:t>
      </w:r>
      <w:proofErr w:type="spellStart"/>
      <w:r w:rsidRPr="00425CFF">
        <w:rPr>
          <w:i/>
          <w:iCs/>
        </w:rPr>
        <w:t>hāḏā</w:t>
      </w:r>
      <w:proofErr w:type="spellEnd"/>
      <w:r w:rsidRPr="00425CFF">
        <w:rPr>
          <w:i/>
          <w:iCs/>
        </w:rPr>
        <w:t xml:space="preserve"> </w:t>
      </w:r>
      <w:proofErr w:type="spellStart"/>
      <w:r w:rsidRPr="00425CFF">
        <w:rPr>
          <w:i/>
          <w:iCs/>
        </w:rPr>
        <w:t>ġaraḍu</w:t>
      </w:r>
      <w:proofErr w:type="spellEnd"/>
      <w:r w:rsidRPr="00425CFF">
        <w:rPr>
          <w:i/>
          <w:iCs/>
        </w:rPr>
        <w:t xml:space="preserve"> </w:t>
      </w:r>
      <w:proofErr w:type="spellStart"/>
      <w:r w:rsidRPr="00425CFF">
        <w:rPr>
          <w:i/>
          <w:iCs/>
        </w:rPr>
        <w:t>hāḏihi</w:t>
      </w:r>
      <w:proofErr w:type="spellEnd"/>
      <w:r w:rsidRPr="00425CFF">
        <w:rPr>
          <w:i/>
          <w:iCs/>
        </w:rPr>
        <w:t xml:space="preserve"> l-</w:t>
      </w:r>
      <w:proofErr w:type="spellStart"/>
      <w:r w:rsidRPr="00425CFF">
        <w:rPr>
          <w:i/>
          <w:iCs/>
        </w:rPr>
        <w:t>maqālati</w:t>
      </w:r>
      <w:proofErr w:type="spellEnd"/>
      <w:r w:rsidRPr="00425CFF">
        <w:rPr>
          <w:i/>
          <w:iCs/>
        </w:rPr>
        <w:t xml:space="preserve"> </w:t>
      </w:r>
      <w:proofErr w:type="spellStart"/>
      <w:r w:rsidRPr="00425CFF">
        <w:rPr>
          <w:i/>
          <w:iCs/>
        </w:rPr>
        <w:t>ʼiḏ</w:t>
      </w:r>
      <w:proofErr w:type="spellEnd"/>
      <w:r w:rsidRPr="00425CFF">
        <w:rPr>
          <w:i/>
          <w:iCs/>
        </w:rPr>
        <w:t xml:space="preserve"> </w:t>
      </w:r>
      <w:proofErr w:type="spellStart"/>
      <w:r w:rsidRPr="00425CFF">
        <w:rPr>
          <w:i/>
          <w:iCs/>
        </w:rPr>
        <w:t>qad</w:t>
      </w:r>
      <w:proofErr w:type="spellEnd"/>
      <w:r w:rsidRPr="00425CFF">
        <w:rPr>
          <w:i/>
          <w:iCs/>
        </w:rPr>
        <w:t xml:space="preserve"> </w:t>
      </w:r>
      <w:proofErr w:type="spellStart"/>
      <w:r w:rsidRPr="00425CFF">
        <w:rPr>
          <w:i/>
          <w:iCs/>
        </w:rPr>
        <w:t>waḍaʻati</w:t>
      </w:r>
      <w:proofErr w:type="spellEnd"/>
      <w:r w:rsidRPr="00425CFF">
        <w:rPr>
          <w:i/>
          <w:iCs/>
        </w:rPr>
        <w:t xml:space="preserve"> l-</w:t>
      </w:r>
      <w:proofErr w:type="spellStart"/>
      <w:r w:rsidRPr="00425CFF">
        <w:rPr>
          <w:i/>
          <w:iCs/>
        </w:rPr>
        <w:t>ʼaṭibbaʼu</w:t>
      </w:r>
      <w:proofErr w:type="spellEnd"/>
      <w:r w:rsidRPr="00425CFF">
        <w:rPr>
          <w:i/>
          <w:iCs/>
        </w:rPr>
        <w:t xml:space="preserve"> </w:t>
      </w:r>
      <w:proofErr w:type="spellStart"/>
      <w:r w:rsidRPr="00425CFF">
        <w:rPr>
          <w:i/>
          <w:iCs/>
        </w:rPr>
        <w:t>f</w:t>
      </w:r>
      <w:r w:rsidR="00213524">
        <w:rPr>
          <w:i/>
          <w:iCs/>
        </w:rPr>
        <w:t>ī</w:t>
      </w:r>
      <w:proofErr w:type="spellEnd"/>
      <w:r w:rsidRPr="00425CFF">
        <w:rPr>
          <w:i/>
          <w:iCs/>
        </w:rPr>
        <w:t xml:space="preserve"> </w:t>
      </w:r>
      <w:proofErr w:type="spellStart"/>
      <w:r w:rsidRPr="00425CFF">
        <w:rPr>
          <w:i/>
          <w:iCs/>
        </w:rPr>
        <w:t>kulli</w:t>
      </w:r>
      <w:proofErr w:type="spellEnd"/>
      <w:r w:rsidRPr="00425CFF">
        <w:rPr>
          <w:i/>
          <w:iCs/>
        </w:rPr>
        <w:t xml:space="preserve"> </w:t>
      </w:r>
      <w:proofErr w:type="spellStart"/>
      <w:r w:rsidRPr="00425CFF">
        <w:rPr>
          <w:i/>
          <w:iCs/>
        </w:rPr>
        <w:t>maraḍin</w:t>
      </w:r>
      <w:proofErr w:type="spellEnd"/>
      <w:r w:rsidRPr="00425CFF">
        <w:rPr>
          <w:i/>
          <w:iCs/>
        </w:rPr>
        <w:t xml:space="preserve"> </w:t>
      </w:r>
      <w:proofErr w:type="spellStart"/>
      <w:r w:rsidRPr="00425CFF">
        <w:rPr>
          <w:i/>
          <w:iCs/>
        </w:rPr>
        <w:t>mā</w:t>
      </w:r>
      <w:proofErr w:type="spellEnd"/>
      <w:r w:rsidRPr="00425CFF">
        <w:rPr>
          <w:i/>
          <w:iCs/>
        </w:rPr>
        <w:t xml:space="preserve"> </w:t>
      </w:r>
      <w:proofErr w:type="spellStart"/>
      <w:r w:rsidRPr="00425CFF">
        <w:rPr>
          <w:i/>
          <w:iCs/>
        </w:rPr>
        <w:t>yaḥtāğu</w:t>
      </w:r>
      <w:proofErr w:type="spellEnd"/>
      <w:r w:rsidRPr="00425CFF">
        <w:rPr>
          <w:i/>
          <w:iCs/>
        </w:rPr>
        <w:t xml:space="preserve"> </w:t>
      </w:r>
      <w:proofErr w:type="spellStart"/>
      <w:r w:rsidRPr="00425CFF">
        <w:rPr>
          <w:i/>
          <w:iCs/>
        </w:rPr>
        <w:t>ʼilayhi</w:t>
      </w:r>
      <w:proofErr w:type="spellEnd"/>
      <w:r w:rsidRPr="00425CFF">
        <w:rPr>
          <w:i/>
          <w:iCs/>
        </w:rPr>
        <w:t xml:space="preserve"> min </w:t>
      </w:r>
      <w:proofErr w:type="spellStart"/>
      <w:r w:rsidRPr="00425CFF">
        <w:rPr>
          <w:i/>
          <w:iCs/>
        </w:rPr>
        <w:t>hāḏā</w:t>
      </w:r>
      <w:proofErr w:type="spellEnd"/>
      <w:r w:rsidRPr="00425CFF">
        <w:t xml:space="preserve"> (p. 2). </w:t>
      </w:r>
    </w:p>
    <w:p w:rsidR="00343182" w:rsidRPr="00F611BF" w:rsidRDefault="00343182" w:rsidP="00425CFF">
      <w:pPr>
        <w:pStyle w:val="NAPHText"/>
        <w:bidi w:val="0"/>
      </w:pPr>
    </w:p>
    <w:p w:rsidR="00343182" w:rsidRDefault="00343182" w:rsidP="00C931EE">
      <w:pPr>
        <w:pStyle w:val="1"/>
        <w:bidi w:val="0"/>
      </w:pPr>
      <w:r>
        <w:t>3</w:t>
      </w:r>
      <w:r w:rsidRPr="00F611BF">
        <w:t>. Summary</w:t>
      </w:r>
    </w:p>
    <w:p w:rsidR="00C931EE" w:rsidRPr="00C931EE" w:rsidRDefault="00C931EE" w:rsidP="00487F4E">
      <w:pPr>
        <w:pStyle w:val="NAPHText"/>
        <w:bidi w:val="0"/>
        <w:spacing w:line="240" w:lineRule="exact"/>
        <w:rPr>
          <w:rtl/>
        </w:rPr>
      </w:pPr>
    </w:p>
    <w:p w:rsidR="00343182" w:rsidRPr="00F611BF" w:rsidRDefault="00343182" w:rsidP="008852E7">
      <w:pPr>
        <w:pStyle w:val="NAPHText"/>
        <w:bidi w:val="0"/>
        <w:rPr>
          <w:rtl/>
        </w:rPr>
      </w:pPr>
      <w:r w:rsidRPr="00F611BF">
        <w:t>There is a direct link between syndetic subordination and the definite anteced</w:t>
      </w:r>
      <w:r>
        <w:t xml:space="preserve">ent. Generally speaking, in </w:t>
      </w:r>
      <w:proofErr w:type="spellStart"/>
      <w:r>
        <w:t>Shemuel</w:t>
      </w:r>
      <w:proofErr w:type="spellEnd"/>
      <w:r>
        <w:t xml:space="preserve"> </w:t>
      </w:r>
      <w:proofErr w:type="spellStart"/>
      <w:r>
        <w:t>Benvenishti’s</w:t>
      </w:r>
      <w:proofErr w:type="spellEnd"/>
      <w:r>
        <w:t xml:space="preserve"> translation of the </w:t>
      </w:r>
      <w:r w:rsidRPr="00B22471">
        <w:rPr>
          <w:i/>
          <w:iCs/>
        </w:rPr>
        <w:t>Treatise on Asthma</w:t>
      </w:r>
      <w:r w:rsidRPr="00425CFF">
        <w:t>,</w:t>
      </w:r>
      <w:r w:rsidRPr="00F611BF">
        <w:t xml:space="preserve"> a definite antecedent has to have syndetic subordination, exactly like the </w:t>
      </w:r>
      <w:proofErr w:type="spellStart"/>
      <w:r w:rsidRPr="00F611BF">
        <w:rPr>
          <w:i/>
          <w:iCs/>
        </w:rPr>
        <w:t>tsila</w:t>
      </w:r>
      <w:r>
        <w:rPr>
          <w:i/>
          <w:iCs/>
        </w:rPr>
        <w:t>h</w:t>
      </w:r>
      <w:proofErr w:type="spellEnd"/>
      <w:r w:rsidRPr="00F611BF">
        <w:t xml:space="preserve"> clause in Classical Arabic where a definite antecedent always has syndetic subord</w:t>
      </w:r>
      <w:r>
        <w:t>ination. There is</w:t>
      </w:r>
      <w:r w:rsidRPr="00F611BF">
        <w:t xml:space="preserve"> often a direct link between an indefinite antecedent and the kind of subordination: </w:t>
      </w:r>
      <w:proofErr w:type="spellStart"/>
      <w:r w:rsidRPr="00F611BF">
        <w:t>asyndetic</w:t>
      </w:r>
      <w:proofErr w:type="spellEnd"/>
      <w:r w:rsidRPr="00F611BF">
        <w:t xml:space="preserve"> rela</w:t>
      </w:r>
      <w:r>
        <w:t>tive clauses frequently appear</w:t>
      </w:r>
      <w:r w:rsidRPr="00F611BF">
        <w:t xml:space="preserve"> after an indefinite antecedent, similar to Classical Arabic.</w:t>
      </w:r>
    </w:p>
    <w:p w:rsidR="00343182" w:rsidRPr="00425CFF" w:rsidRDefault="00343182" w:rsidP="00425CFF">
      <w:pPr>
        <w:pStyle w:val="NAPHText"/>
        <w:bidi w:val="0"/>
        <w:rPr>
          <w:rtl/>
        </w:rPr>
      </w:pPr>
      <w:r w:rsidRPr="00425CFF">
        <w:t xml:space="preserve">There are precedents in Biblical and </w:t>
      </w:r>
      <w:proofErr w:type="spellStart"/>
      <w:r w:rsidRPr="00425CFF">
        <w:t>Mishnaic</w:t>
      </w:r>
      <w:proofErr w:type="spellEnd"/>
      <w:r w:rsidRPr="00425CFF">
        <w:t xml:space="preserve"> Hebrew for the translation’s syntactic patterns of relative clauses; they are not found solely in Arabicized Hebrew. However, the frequency with which they are used to render the same structures in the </w:t>
      </w:r>
      <w:proofErr w:type="gramStart"/>
      <w:r w:rsidRPr="00425CFF">
        <w:t>book’s</w:t>
      </w:r>
      <w:proofErr w:type="gramEnd"/>
      <w:r w:rsidRPr="00425CFF">
        <w:t xml:space="preserve"> original indicates an indirect influence of Arabic. In other words, what we deal </w:t>
      </w:r>
      <w:r w:rsidR="00425CFF">
        <w:t xml:space="preserve">with </w:t>
      </w:r>
      <w:r w:rsidRPr="00425CFF">
        <w:t>here is an oblique way of reflecting the linguistic flavor of the culture of origin. The same is true of the translator</w:t>
      </w:r>
      <w:r w:rsidR="00425CFF">
        <w:t>’</w:t>
      </w:r>
      <w:r w:rsidRPr="00425CFF">
        <w:t>s frequent choice of nominalized relative clauses introduced by</w:t>
      </w:r>
      <w:r w:rsidRPr="00425CFF">
        <w:rPr>
          <w:lang w:val="es-ES"/>
        </w:rPr>
        <w:t xml:space="preserve"> </w:t>
      </w:r>
      <w:r w:rsidRPr="00425CFF">
        <w:rPr>
          <w:rFonts w:ascii="SBL Hebrew" w:hAnsi="SBL Hebrew" w:cs="SBL Hebrew"/>
          <w:rtl/>
        </w:rPr>
        <w:t>מה</w:t>
      </w:r>
      <w:r w:rsidRPr="00425CFF">
        <w:t xml:space="preserve">, </w:t>
      </w:r>
      <w:r w:rsidRPr="00425CFF">
        <w:rPr>
          <w:rFonts w:ascii="SBL Hebrew" w:hAnsi="SBL Hebrew" w:cs="SBL Hebrew"/>
          <w:rtl/>
        </w:rPr>
        <w:t>מי</w:t>
      </w:r>
      <w:r w:rsidRPr="00425CFF">
        <w:t xml:space="preserve">, and </w:t>
      </w:r>
      <w:r w:rsidRPr="00425CFF">
        <w:rPr>
          <w:rFonts w:ascii="SBL Hebrew" w:hAnsi="SBL Hebrew" w:cs="SBL Hebrew"/>
          <w:rtl/>
        </w:rPr>
        <w:t>ממה</w:t>
      </w:r>
      <w:r w:rsidRPr="00425CFF">
        <w:t xml:space="preserve"> as equivalents of nominalized relative clauses introduced by </w:t>
      </w:r>
      <w:proofErr w:type="spellStart"/>
      <w:r w:rsidRPr="00425CFF">
        <w:rPr>
          <w:i/>
          <w:iCs/>
        </w:rPr>
        <w:t>mā</w:t>
      </w:r>
      <w:proofErr w:type="spellEnd"/>
      <w:r w:rsidRPr="00425CFF">
        <w:t xml:space="preserve">, </w:t>
      </w:r>
      <w:proofErr w:type="spellStart"/>
      <w:r w:rsidRPr="00425CFF">
        <w:rPr>
          <w:i/>
          <w:iCs/>
        </w:rPr>
        <w:t>mān</w:t>
      </w:r>
      <w:proofErr w:type="spellEnd"/>
      <w:r w:rsidRPr="00425CFF">
        <w:t xml:space="preserve">, and </w:t>
      </w:r>
      <w:proofErr w:type="spellStart"/>
      <w:r w:rsidRPr="00425CFF">
        <w:rPr>
          <w:i/>
          <w:iCs/>
        </w:rPr>
        <w:t>mimā</w:t>
      </w:r>
      <w:proofErr w:type="spellEnd"/>
      <w:r w:rsidRPr="00425CFF">
        <w:t xml:space="preserve"> in the source text. By contrast, a direct Arabic influence can be seen where the clarifying and descriptive </w:t>
      </w:r>
      <w:r w:rsidRPr="00425CFF">
        <w:rPr>
          <w:rFonts w:ascii="SBL Hebrew" w:hAnsi="SBL Hebrew" w:cs="SBL Hebrew"/>
          <w:rtl/>
        </w:rPr>
        <w:t>מִן</w:t>
      </w:r>
      <w:r w:rsidRPr="00425CFF">
        <w:t xml:space="preserve"> is concerned since this structure does not exist in the preceding strata of Hebrew. </w:t>
      </w:r>
    </w:p>
    <w:p w:rsidR="00343182" w:rsidRPr="00F611BF" w:rsidRDefault="00343182" w:rsidP="00425CFF">
      <w:pPr>
        <w:pStyle w:val="NAPHText"/>
        <w:bidi w:val="0"/>
        <w:rPr>
          <w:rtl/>
        </w:rPr>
      </w:pPr>
      <w:r w:rsidRPr="00F611BF">
        <w:t xml:space="preserve">Most of the time, the interpretation </w:t>
      </w:r>
      <w:r>
        <w:t xml:space="preserve">involved </w:t>
      </w:r>
      <w:r w:rsidRPr="00F611BF">
        <w:t xml:space="preserve">in the translation of the relative clauses in the </w:t>
      </w:r>
      <w:r w:rsidRPr="00F611BF">
        <w:rPr>
          <w:i/>
          <w:iCs/>
        </w:rPr>
        <w:t>Treatise on Asthma</w:t>
      </w:r>
      <w:r>
        <w:t xml:space="preserve"> is of the positive type. T</w:t>
      </w:r>
      <w:r w:rsidRPr="00F611BF">
        <w:t>he translator chose to use relative clause structures that a</w:t>
      </w:r>
      <w:r>
        <w:t xml:space="preserve">lready existed in the target language but the frequency of their occurrence was affected, without doubt, by </w:t>
      </w:r>
      <w:r w:rsidRPr="00F611BF">
        <w:t>the source language.</w:t>
      </w:r>
    </w:p>
    <w:p w:rsidR="00985C42" w:rsidRPr="00C931EE" w:rsidRDefault="00343182" w:rsidP="00213524">
      <w:pPr>
        <w:pStyle w:val="NAPHText"/>
        <w:bidi w:val="0"/>
        <w:rPr>
          <w:rFonts w:cs="SBL Hebrew"/>
        </w:rPr>
      </w:pPr>
      <w:r>
        <w:t>The present</w:t>
      </w:r>
      <w:r w:rsidRPr="00F611BF">
        <w:t xml:space="preserve"> article can open the door</w:t>
      </w:r>
      <w:r>
        <w:t xml:space="preserve"> to further research </w:t>
      </w:r>
      <w:r w:rsidRPr="00F611BF">
        <w:t>on the topic of relative clauses in Ar</w:t>
      </w:r>
      <w:r>
        <w:t xml:space="preserve">abicized Hebrew. To wit: is </w:t>
      </w:r>
      <w:proofErr w:type="spellStart"/>
      <w:r w:rsidRPr="00F611BF">
        <w:t>Arabicization</w:t>
      </w:r>
      <w:proofErr w:type="spellEnd"/>
      <w:r w:rsidRPr="00F611BF">
        <w:t xml:space="preserve"> </w:t>
      </w:r>
      <w:r w:rsidRPr="00F611BF">
        <w:rPr>
          <w:rFonts w:cs="SBL Hebrew"/>
        </w:rPr>
        <w:t>of</w:t>
      </w:r>
      <w:r w:rsidRPr="00F611BF">
        <w:t xml:space="preserve"> relative clauses in translated writings mor</w:t>
      </w:r>
      <w:r>
        <w:t xml:space="preserve">e common than </w:t>
      </w:r>
      <w:r w:rsidRPr="00F611BF">
        <w:t>in texts that were originally written in Hebrew?</w:t>
      </w:r>
      <w:r w:rsidR="00BB4494">
        <w:t xml:space="preserve"> </w:t>
      </w:r>
      <w:r w:rsidRPr="00F611BF">
        <w:t>Is the influence of Arabic in general and relative clauses in particular less extensive in the work of authors who had no knowledge</w:t>
      </w:r>
      <w:r>
        <w:t xml:space="preserve"> of </w:t>
      </w:r>
      <w:r>
        <w:lastRenderedPageBreak/>
        <w:t xml:space="preserve">Arabic, such as </w:t>
      </w:r>
      <w:r w:rsidRPr="00F611BF">
        <w:t xml:space="preserve">Levi ben </w:t>
      </w:r>
      <w:proofErr w:type="spellStart"/>
      <w:r w:rsidRPr="00F611BF">
        <w:t>Gershon</w:t>
      </w:r>
      <w:proofErr w:type="spellEnd"/>
      <w:r w:rsidRPr="00F611BF">
        <w:t xml:space="preserve"> and </w:t>
      </w:r>
      <w:proofErr w:type="spellStart"/>
      <w:r w:rsidRPr="00F611BF">
        <w:t>Gershon</w:t>
      </w:r>
      <w:proofErr w:type="spellEnd"/>
      <w:r w:rsidRPr="00F611BF">
        <w:t xml:space="preserve"> ben Solom</w:t>
      </w:r>
      <w:r>
        <w:t>on, than in the texts produced by those who did know it</w:t>
      </w:r>
      <w:r w:rsidRPr="00F611BF">
        <w:t>?</w:t>
      </w:r>
      <w:r>
        <w:t xml:space="preserve"> W</w:t>
      </w:r>
      <w:r w:rsidRPr="00F611BF">
        <w:t xml:space="preserve">as </w:t>
      </w:r>
      <w:r>
        <w:t xml:space="preserve">the Arabicized style </w:t>
      </w:r>
      <w:r w:rsidRPr="00F611BF">
        <w:t>the norm for all writers</w:t>
      </w:r>
      <w:r>
        <w:t xml:space="preserve"> of the period</w:t>
      </w:r>
      <w:r w:rsidRPr="00F611BF">
        <w:t xml:space="preserve">, including those who did not know Arabic? Is the literary genre likely to influence how the relative clause behaves? In other words, are some structures more common in texts with some </w:t>
      </w:r>
      <w:r w:rsidRPr="00213524">
        <w:t xml:space="preserve">sort </w:t>
      </w:r>
      <w:r w:rsidR="00213524">
        <w:t>of</w:t>
      </w:r>
      <w:r w:rsidR="00BB4494">
        <w:t xml:space="preserve"> </w:t>
      </w:r>
      <w:r w:rsidRPr="00F611BF">
        <w:t>literary bent?</w:t>
      </w:r>
    </w:p>
    <w:sectPr w:rsidR="00985C42" w:rsidRPr="00C931EE" w:rsidSect="000F580C">
      <w:headerReference w:type="default" r:id="rId10"/>
      <w:pgSz w:w="12240" w:h="15840"/>
      <w:pgMar w:top="1656" w:right="1800" w:bottom="1584" w:left="1800" w:header="720" w:footer="720" w:gutter="0"/>
      <w:pgNumType w:start="1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25" w:rsidRDefault="00876525" w:rsidP="00985C42">
      <w:r>
        <w:separator/>
      </w:r>
    </w:p>
  </w:endnote>
  <w:endnote w:type="continuationSeparator" w:id="0">
    <w:p w:rsidR="00876525" w:rsidRDefault="00876525" w:rsidP="0098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BL Hebrew">
    <w:altName w:val="Times New Roman"/>
    <w:charset w:val="00"/>
    <w:family w:val="auto"/>
    <w:pitch w:val="variable"/>
    <w:sig w:usb0="00000000" w:usb1="4000204A" w:usb2="00000000" w:usb3="00000000" w:csb0="00000021" w:csb1="00000000"/>
  </w:font>
  <w:font w:name="Gentium">
    <w:altName w:val="Times New Roman"/>
    <w:panose1 w:val="00000000000000000000"/>
    <w:charset w:val="00"/>
    <w:family w:val="roman"/>
    <w:notTrueType/>
    <w:pitch w:val="default"/>
  </w:font>
  <w:font w:name="Times Beyrut Roman">
    <w:altName w:val="Times New Roman"/>
    <w:charset w:val="00"/>
    <w:family w:val="roman"/>
    <w:pitch w:val="variable"/>
    <w:sig w:usb0="00000003" w:usb1="00000000" w:usb2="00000000" w:usb3="00000000" w:csb0="00000001" w:csb1="00000000"/>
  </w:font>
  <w:font w:name="Gentium Plus">
    <w:altName w:val="Cambria Math"/>
    <w:charset w:val="00"/>
    <w:family w:val="auto"/>
    <w:pitch w:val="variable"/>
    <w:sig w:usb0="00000001" w:usb1="5200A1FB" w:usb2="00000009"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25" w:rsidRPr="00857346" w:rsidRDefault="00876525" w:rsidP="008F24E4">
      <w:pPr>
        <w:bidi w:val="0"/>
        <w:rPr>
          <w:rFonts w:cs="Times New Roman"/>
          <w:sz w:val="36"/>
          <w:szCs w:val="36"/>
        </w:rPr>
      </w:pPr>
      <w:r>
        <w:separator/>
      </w:r>
    </w:p>
  </w:footnote>
  <w:footnote w:type="continuationSeparator" w:id="0">
    <w:p w:rsidR="00876525" w:rsidRDefault="00876525" w:rsidP="00985C42">
      <w:r>
        <w:continuationSeparator/>
      </w:r>
    </w:p>
  </w:footnote>
  <w:footnote w:id="1">
    <w:p w:rsidR="00343182" w:rsidRPr="00CB248C" w:rsidRDefault="00343182" w:rsidP="00EE720E">
      <w:pPr>
        <w:pStyle w:val="NAPHFootnote"/>
        <w:bidi w:val="0"/>
        <w:rPr>
          <w:color w:val="000000"/>
        </w:rPr>
      </w:pPr>
      <w:r w:rsidRPr="00CB248C">
        <w:rPr>
          <w:rStyle w:val="a9"/>
        </w:rPr>
        <w:footnoteRef/>
      </w:r>
      <w:r w:rsidRPr="00CB248C">
        <w:rPr>
          <w:rtl/>
        </w:rPr>
        <w:t xml:space="preserve"> </w:t>
      </w:r>
      <w:r w:rsidRPr="00CB248C">
        <w:t xml:space="preserve">All references to this translation below follow its first print edition: Moshe </w:t>
      </w:r>
      <w:r w:rsidRPr="00CB248C">
        <w:rPr>
          <w:color w:val="000000"/>
        </w:rPr>
        <w:t xml:space="preserve">ben </w:t>
      </w:r>
      <w:proofErr w:type="spellStart"/>
      <w:r w:rsidRPr="00CB248C">
        <w:rPr>
          <w:color w:val="000000"/>
        </w:rPr>
        <w:t>Maimon</w:t>
      </w:r>
      <w:proofErr w:type="spellEnd"/>
      <w:r w:rsidRPr="00CB248C">
        <w:rPr>
          <w:color w:val="000000"/>
        </w:rPr>
        <w:t xml:space="preserve">, </w:t>
      </w:r>
      <w:r w:rsidR="00EE720E" w:rsidRPr="00EE720E">
        <w:rPr>
          <w:rFonts w:ascii="SBL Hebrew" w:hAnsi="SBL Hebrew" w:cs="SBL Hebrew"/>
          <w:rtl/>
        </w:rPr>
        <w:t>ספר הקצרת</w:t>
      </w:r>
      <w:r w:rsidR="00EE720E">
        <w:t xml:space="preserve"> </w:t>
      </w:r>
      <w:r w:rsidRPr="00CB248C">
        <w:rPr>
          <w:color w:val="000000"/>
        </w:rPr>
        <w:t xml:space="preserve">(The book on asthma; trans. S. </w:t>
      </w:r>
      <w:proofErr w:type="spellStart"/>
      <w:r w:rsidRPr="00CB248C">
        <w:rPr>
          <w:color w:val="000000"/>
        </w:rPr>
        <w:t>Benvenishti</w:t>
      </w:r>
      <w:proofErr w:type="spellEnd"/>
      <w:r w:rsidRPr="00CB248C">
        <w:rPr>
          <w:color w:val="000000"/>
        </w:rPr>
        <w:t xml:space="preserve">; ed. S. </w:t>
      </w:r>
      <w:proofErr w:type="spellStart"/>
      <w:r w:rsidRPr="00CB248C">
        <w:rPr>
          <w:color w:val="000000"/>
        </w:rPr>
        <w:t>Muntner</w:t>
      </w:r>
      <w:proofErr w:type="spellEnd"/>
      <w:r w:rsidRPr="00CB248C">
        <w:rPr>
          <w:color w:val="000000"/>
        </w:rPr>
        <w:t xml:space="preserve">; Jerusalem: Rubin Mass, 1940). </w:t>
      </w:r>
      <w:r w:rsidRPr="00CB248C">
        <w:t xml:space="preserve">The book is not examined in M. Goshen-Gottstein, </w:t>
      </w:r>
      <w:r w:rsidR="008F24E4">
        <w:t>“</w:t>
      </w:r>
      <w:r w:rsidRPr="008F24E4">
        <w:t>Syntax and Vocabulary of Mediaeval Hebrew as Influenced by Arabic</w:t>
      </w:r>
      <w:r w:rsidR="008F24E4">
        <w:t>”</w:t>
      </w:r>
      <w:r w:rsidRPr="008F24E4">
        <w:t xml:space="preserve"> </w:t>
      </w:r>
      <w:r w:rsidRPr="00CB248C">
        <w:t xml:space="preserve">(Ph.D. </w:t>
      </w:r>
      <w:r w:rsidR="00AD264B">
        <w:t>t</w:t>
      </w:r>
      <w:r w:rsidRPr="00CB248C">
        <w:t>hesis, Hebrew University in Jerusalem, 1951).</w:t>
      </w:r>
    </w:p>
  </w:footnote>
  <w:footnote w:id="2">
    <w:p w:rsidR="00343182" w:rsidRPr="00CB248C" w:rsidRDefault="00343182" w:rsidP="00B46DE3">
      <w:pPr>
        <w:pStyle w:val="NAPHFootnote"/>
        <w:bidi w:val="0"/>
      </w:pPr>
      <w:r w:rsidRPr="00CB248C">
        <w:rPr>
          <w:rStyle w:val="a9"/>
        </w:rPr>
        <w:footnoteRef/>
      </w:r>
      <w:r w:rsidRPr="00CB248C">
        <w:rPr>
          <w:rtl/>
        </w:rPr>
        <w:t xml:space="preserve"> </w:t>
      </w:r>
      <w:r w:rsidRPr="00CB248C">
        <w:t xml:space="preserve">I. Basal, </w:t>
      </w:r>
      <w:r w:rsidR="00AD264B">
        <w:t>“</w:t>
      </w:r>
      <w:r w:rsidR="00EE720E" w:rsidRPr="00EE720E">
        <w:rPr>
          <w:rFonts w:ascii="SBL Hebrew" w:hAnsi="SBL Hebrew" w:cs="SBL Hebrew"/>
          <w:rtl/>
        </w:rPr>
        <w:t>יסודות עבריים וארמיים בערבית הדבורה בפי הנוצרים בא"י ובערבית הכתובה בקהילות הנוצריות בא"י, סוריה והלבנון</w:t>
      </w:r>
      <w:r w:rsidR="00AD264B">
        <w:t>”</w:t>
      </w:r>
      <w:r w:rsidRPr="00CB248C">
        <w:t xml:space="preserve"> (Hebrew and Aramaic elements in the vernacular Christian Arabic in Israel and in the written Christian Arabic in the Holy Land, Syria and Lebanon; </w:t>
      </w:r>
      <w:r w:rsidR="00AD264B">
        <w:t xml:space="preserve">Ph.D. </w:t>
      </w:r>
      <w:r w:rsidR="00B46DE3">
        <w:t>thesis</w:t>
      </w:r>
      <w:r w:rsidRPr="00CB248C">
        <w:t>, University of Haifa, 2004), p. 32.</w:t>
      </w:r>
    </w:p>
  </w:footnote>
  <w:footnote w:id="3">
    <w:p w:rsidR="00343182" w:rsidRPr="00CB248C" w:rsidRDefault="00343182" w:rsidP="00EE720E">
      <w:pPr>
        <w:pStyle w:val="NAPHFootnote"/>
        <w:bidi w:val="0"/>
        <w:rPr>
          <w:color w:val="000000"/>
        </w:rPr>
      </w:pPr>
      <w:r w:rsidRPr="00CB248C">
        <w:rPr>
          <w:rStyle w:val="a9"/>
        </w:rPr>
        <w:footnoteRef/>
      </w:r>
      <w:r w:rsidRPr="00CB248C">
        <w:rPr>
          <w:rtl/>
        </w:rPr>
        <w:t xml:space="preserve"> </w:t>
      </w:r>
      <w:r w:rsidRPr="00CB248C">
        <w:t xml:space="preserve">For the influence of Arabic on Hebrew in the Middle Ages with regard to vocabulary and syntax, see G. B. </w:t>
      </w:r>
      <w:proofErr w:type="spellStart"/>
      <w:r w:rsidRPr="00CB248C">
        <w:t>Sarfatti</w:t>
      </w:r>
      <w:proofErr w:type="spellEnd"/>
      <w:r w:rsidRPr="00CB248C">
        <w:t xml:space="preserve">, </w:t>
      </w:r>
      <w:r w:rsidR="00AD264B">
        <w:t>“</w:t>
      </w:r>
      <w:r w:rsidR="00EE720E" w:rsidRPr="00EE720E">
        <w:rPr>
          <w:rFonts w:ascii="SBL Hebrew" w:hAnsi="SBL Hebrew" w:cs="SBL Hebrew"/>
          <w:rtl/>
        </w:rPr>
        <w:t>לשון המתרגמים</w:t>
      </w:r>
      <w:r w:rsidR="00AD264B">
        <w:t>”</w:t>
      </w:r>
      <w:r w:rsidRPr="00CB248C">
        <w:t xml:space="preserve"> (The language of the translators from Arabic), in </w:t>
      </w:r>
      <w:r w:rsidR="00EE720E" w:rsidRPr="00EE720E">
        <w:rPr>
          <w:rFonts w:ascii="SBL Hebrew" w:hAnsi="SBL Hebrew" w:cs="SBL Hebrew"/>
          <w:rtl/>
        </w:rPr>
        <w:t>פרקים בתולדות הלשון העברית</w:t>
      </w:r>
      <w:r w:rsidR="00EE720E" w:rsidRPr="00EE720E">
        <w:rPr>
          <w:rFonts w:ascii="SBL Hebrew" w:hAnsi="SBL Hebrew" w:cs="SBL Hebrew"/>
        </w:rPr>
        <w:t xml:space="preserve"> </w:t>
      </w:r>
      <w:r w:rsidRPr="00CB248C">
        <w:t xml:space="preserve">(History of the Hebrew language; ed. M. </w:t>
      </w:r>
      <w:proofErr w:type="spellStart"/>
      <w:r w:rsidRPr="00CB248C">
        <w:t>Kadari</w:t>
      </w:r>
      <w:proofErr w:type="spellEnd"/>
      <w:r w:rsidRPr="00CB248C">
        <w:t xml:space="preserve">; </w:t>
      </w:r>
      <w:r w:rsidRPr="00CB248C">
        <w:rPr>
          <w:color w:val="000000"/>
        </w:rPr>
        <w:t>Tel Aviv: The Open University of Israel, 2003), pp. 49</w:t>
      </w:r>
      <w:r w:rsidR="00AD264B">
        <w:rPr>
          <w:color w:val="000000"/>
        </w:rPr>
        <w:t>–</w:t>
      </w:r>
      <w:r w:rsidRPr="00CB248C">
        <w:rPr>
          <w:color w:val="000000"/>
        </w:rPr>
        <w:t xml:space="preserve">96; A. </w:t>
      </w:r>
      <w:proofErr w:type="spellStart"/>
      <w:r w:rsidRPr="00CB248C">
        <w:rPr>
          <w:color w:val="000000"/>
        </w:rPr>
        <w:t>Maman</w:t>
      </w:r>
      <w:proofErr w:type="spellEnd"/>
      <w:r w:rsidRPr="00CB248C">
        <w:rPr>
          <w:color w:val="000000"/>
        </w:rPr>
        <w:t xml:space="preserve">, </w:t>
      </w:r>
      <w:r w:rsidR="00AD264B">
        <w:rPr>
          <w:color w:val="000000"/>
        </w:rPr>
        <w:t>“</w:t>
      </w:r>
      <w:r w:rsidR="00EE720E" w:rsidRPr="00EE720E">
        <w:rPr>
          <w:rFonts w:ascii="SBL Hebrew" w:hAnsi="SBL Hebrew" w:cs="SBL Hebrew"/>
          <w:rtl/>
        </w:rPr>
        <w:t>העברית המושפעת מן הערבית</w:t>
      </w:r>
      <w:r w:rsidR="00AD264B">
        <w:rPr>
          <w:color w:val="000000"/>
        </w:rPr>
        <w:t>”</w:t>
      </w:r>
      <w:r w:rsidRPr="00CB248C">
        <w:rPr>
          <w:color w:val="000000"/>
        </w:rPr>
        <w:t xml:space="preserve"> (Hebrew influenced by Arabic), </w:t>
      </w:r>
      <w:proofErr w:type="spellStart"/>
      <w:r w:rsidRPr="00CB248C">
        <w:rPr>
          <w:i/>
          <w:iCs/>
          <w:color w:val="000000"/>
        </w:rPr>
        <w:t>Mahanaim</w:t>
      </w:r>
      <w:proofErr w:type="spellEnd"/>
      <w:r w:rsidRPr="00CB248C">
        <w:rPr>
          <w:color w:val="000000"/>
        </w:rPr>
        <w:t xml:space="preserve"> 1 (1991): 106</w:t>
      </w:r>
      <w:r w:rsidR="00AD264B">
        <w:rPr>
          <w:color w:val="000000"/>
        </w:rPr>
        <w:t>–</w:t>
      </w:r>
      <w:r w:rsidRPr="00CB248C">
        <w:rPr>
          <w:color w:val="000000"/>
        </w:rPr>
        <w:t>115.</w:t>
      </w:r>
    </w:p>
  </w:footnote>
  <w:footnote w:id="4">
    <w:p w:rsidR="00343182" w:rsidRPr="00AD264B" w:rsidRDefault="00343182" w:rsidP="00AD264B">
      <w:pPr>
        <w:pStyle w:val="NAPHFootnote"/>
        <w:bidi w:val="0"/>
      </w:pPr>
      <w:r w:rsidRPr="00AD264B">
        <w:rPr>
          <w:rStyle w:val="a9"/>
        </w:rPr>
        <w:footnoteRef/>
      </w:r>
      <w:r w:rsidRPr="00AD264B">
        <w:rPr>
          <w:rtl/>
        </w:rPr>
        <w:t xml:space="preserve"> </w:t>
      </w:r>
      <w:r w:rsidRPr="00AD264B">
        <w:t xml:space="preserve">U. </w:t>
      </w:r>
      <w:proofErr w:type="spellStart"/>
      <w:r w:rsidRPr="00AD264B">
        <w:t>Weinreich</w:t>
      </w:r>
      <w:proofErr w:type="spellEnd"/>
      <w:r w:rsidRPr="00AD264B">
        <w:t xml:space="preserve">, </w:t>
      </w:r>
      <w:r w:rsidRPr="00AD264B">
        <w:rPr>
          <w:i/>
          <w:iCs/>
        </w:rPr>
        <w:t>Languages</w:t>
      </w:r>
      <w:r w:rsidRPr="00AD264B">
        <w:rPr>
          <w:b/>
          <w:bCs/>
        </w:rPr>
        <w:t xml:space="preserve"> </w:t>
      </w:r>
      <w:r w:rsidRPr="00AD264B">
        <w:rPr>
          <w:i/>
          <w:iCs/>
        </w:rPr>
        <w:t>in</w:t>
      </w:r>
      <w:r w:rsidRPr="00AD264B">
        <w:rPr>
          <w:b/>
          <w:bCs/>
        </w:rPr>
        <w:t xml:space="preserve"> </w:t>
      </w:r>
      <w:r w:rsidRPr="00AD264B">
        <w:rPr>
          <w:i/>
          <w:iCs/>
        </w:rPr>
        <w:t>Contact</w:t>
      </w:r>
      <w:r w:rsidRPr="00AD264B">
        <w:t xml:space="preserve"> (The Hague: Mouton, 1968), p. 14.</w:t>
      </w:r>
    </w:p>
  </w:footnote>
  <w:footnote w:id="5">
    <w:p w:rsidR="00343182" w:rsidRPr="00E91AA2" w:rsidRDefault="00343182" w:rsidP="00E91AA2">
      <w:pPr>
        <w:pStyle w:val="NAPHFootnote"/>
        <w:bidi w:val="0"/>
      </w:pPr>
      <w:r w:rsidRPr="00CB248C">
        <w:rPr>
          <w:rStyle w:val="a9"/>
        </w:rPr>
        <w:footnoteRef/>
      </w:r>
      <w:r w:rsidRPr="00CB248C">
        <w:rPr>
          <w:rtl/>
        </w:rPr>
        <w:t xml:space="preserve"> </w:t>
      </w:r>
      <w:r w:rsidRPr="00CB248C">
        <w:t xml:space="preserve">G. </w:t>
      </w:r>
      <w:proofErr w:type="spellStart"/>
      <w:r w:rsidRPr="00CB248C">
        <w:t>Toury</w:t>
      </w:r>
      <w:proofErr w:type="spellEnd"/>
      <w:r w:rsidRPr="00CB248C">
        <w:t>,</w:t>
      </w:r>
      <w:r w:rsidRPr="00CB248C">
        <w:rPr>
          <w:i/>
          <w:iCs/>
        </w:rPr>
        <w:t xml:space="preserve"> In</w:t>
      </w:r>
      <w:r w:rsidRPr="00CB248C">
        <w:t xml:space="preserve"> </w:t>
      </w:r>
      <w:r w:rsidRPr="00CB248C">
        <w:rPr>
          <w:i/>
          <w:iCs/>
        </w:rPr>
        <w:t>Search</w:t>
      </w:r>
      <w:r w:rsidRPr="00CB248C">
        <w:t xml:space="preserve"> </w:t>
      </w:r>
      <w:r w:rsidRPr="00CB248C">
        <w:rPr>
          <w:i/>
          <w:iCs/>
        </w:rPr>
        <w:t>of</w:t>
      </w:r>
      <w:r w:rsidRPr="00CB248C">
        <w:t xml:space="preserve"> </w:t>
      </w:r>
      <w:r w:rsidRPr="00CB248C">
        <w:rPr>
          <w:i/>
          <w:iCs/>
        </w:rPr>
        <w:t>a</w:t>
      </w:r>
      <w:r w:rsidRPr="00CB248C">
        <w:t xml:space="preserve"> </w:t>
      </w:r>
      <w:r w:rsidRPr="00CB248C">
        <w:rPr>
          <w:i/>
          <w:iCs/>
        </w:rPr>
        <w:t>Theory</w:t>
      </w:r>
      <w:r w:rsidRPr="00CB248C">
        <w:t xml:space="preserve"> </w:t>
      </w:r>
      <w:r w:rsidRPr="00CB248C">
        <w:rPr>
          <w:i/>
          <w:iCs/>
        </w:rPr>
        <w:t>of</w:t>
      </w:r>
      <w:r w:rsidRPr="00CB248C">
        <w:t xml:space="preserve"> </w:t>
      </w:r>
      <w:r w:rsidRPr="00CB248C">
        <w:rPr>
          <w:i/>
          <w:iCs/>
        </w:rPr>
        <w:t>Translation</w:t>
      </w:r>
      <w:r w:rsidRPr="00CB248C">
        <w:t xml:space="preserve"> (Tel Aviv: The Porter Institute for Poetics and Semiotics, 1980), pp. 71</w:t>
      </w:r>
      <w:r w:rsidR="00E91AA2">
        <w:t>–</w:t>
      </w:r>
      <w:r w:rsidRPr="00CB248C">
        <w:t>78.</w:t>
      </w:r>
    </w:p>
  </w:footnote>
  <w:footnote w:id="6">
    <w:p w:rsidR="00343182" w:rsidRPr="00B933AF" w:rsidRDefault="00343182" w:rsidP="00B933AF">
      <w:pPr>
        <w:pStyle w:val="NAPHFootnote"/>
        <w:bidi w:val="0"/>
      </w:pPr>
      <w:r w:rsidRPr="00B933AF">
        <w:rPr>
          <w:rStyle w:val="a9"/>
        </w:rPr>
        <w:footnoteRef/>
      </w:r>
      <w:r w:rsidRPr="00B933AF">
        <w:rPr>
          <w:rtl/>
        </w:rPr>
        <w:t xml:space="preserve"> </w:t>
      </w:r>
      <w:r w:rsidRPr="00B933AF">
        <w:t xml:space="preserve">G. </w:t>
      </w:r>
      <w:proofErr w:type="spellStart"/>
      <w:r w:rsidRPr="00B933AF">
        <w:t>Toury</w:t>
      </w:r>
      <w:proofErr w:type="spellEnd"/>
      <w:r w:rsidRPr="00B933AF">
        <w:t xml:space="preserve">, </w:t>
      </w:r>
      <w:r w:rsidRPr="00B933AF">
        <w:rPr>
          <w:i/>
          <w:iCs/>
        </w:rPr>
        <w:t>Descriptive Translation Studies and Beyond</w:t>
      </w:r>
      <w:r w:rsidRPr="00B933AF">
        <w:t xml:space="preserve"> (Amsterdam: John </w:t>
      </w:r>
      <w:proofErr w:type="spellStart"/>
      <w:r w:rsidRPr="00B933AF">
        <w:t>Benjamins</w:t>
      </w:r>
      <w:proofErr w:type="spellEnd"/>
      <w:r w:rsidRPr="00B933AF">
        <w:t>, 1995), pp. 274</w:t>
      </w:r>
      <w:r w:rsidR="00B933AF" w:rsidRPr="00B933AF">
        <w:t>–</w:t>
      </w:r>
      <w:r w:rsidRPr="00B933AF">
        <w:t>279.</w:t>
      </w:r>
    </w:p>
  </w:footnote>
  <w:footnote w:id="7">
    <w:p w:rsidR="00343182" w:rsidRPr="00B933AF" w:rsidRDefault="00343182" w:rsidP="00F575BF">
      <w:pPr>
        <w:pStyle w:val="NAPHFootnote"/>
        <w:bidi w:val="0"/>
      </w:pPr>
      <w:r w:rsidRPr="00B933AF">
        <w:rPr>
          <w:rStyle w:val="a9"/>
        </w:rPr>
        <w:footnoteRef/>
      </w:r>
      <w:r w:rsidRPr="00B933AF">
        <w:t xml:space="preserve"> On this phenomenon in Hebrew and Yiddish, see I. Even-Zohar, </w:t>
      </w:r>
      <w:r w:rsidR="00F575BF" w:rsidRPr="00F575BF">
        <w:rPr>
          <w:rFonts w:ascii="SBL Hebrew" w:hAnsi="SBL Hebrew" w:cs="SBL Hebrew"/>
          <w:rtl/>
        </w:rPr>
        <w:t xml:space="preserve">לשון אותנטית, מסירת דיבור אותנטית: עברית </w:t>
      </w:r>
      <w:proofErr w:type="gramStart"/>
      <w:r w:rsidR="00F575BF" w:rsidRPr="00F575BF">
        <w:rPr>
          <w:rFonts w:ascii="SBL Hebrew" w:hAnsi="SBL Hebrew" w:cs="SBL Hebrew"/>
          <w:rtl/>
        </w:rPr>
        <w:t>ויידיש</w:t>
      </w:r>
      <w:r w:rsidR="00F575BF">
        <w:rPr>
          <w:rFonts w:cs="David" w:hint="cs"/>
          <w:rtl/>
        </w:rPr>
        <w:t xml:space="preserve"> </w:t>
      </w:r>
      <w:r w:rsidR="00F575BF">
        <w:rPr>
          <w:rFonts w:cs="David"/>
        </w:rPr>
        <w:t xml:space="preserve"> </w:t>
      </w:r>
      <w:r w:rsidRPr="00B933AF">
        <w:t>(</w:t>
      </w:r>
      <w:proofErr w:type="gramEnd"/>
      <w:r w:rsidRPr="00B933AF">
        <w:t xml:space="preserve">Authentic language and authentic reported speech: Hebrew </w:t>
      </w:r>
      <w:r w:rsidR="00B933AF" w:rsidRPr="00B933AF">
        <w:t>versus</w:t>
      </w:r>
      <w:r w:rsidRPr="00B933AF">
        <w:t xml:space="preserve"> Yiddish), </w:t>
      </w:r>
      <w:proofErr w:type="spellStart"/>
      <w:r w:rsidRPr="00B933AF">
        <w:rPr>
          <w:i/>
          <w:iCs/>
        </w:rPr>
        <w:t>Hasifrut</w:t>
      </w:r>
      <w:proofErr w:type="spellEnd"/>
      <w:r w:rsidRPr="00B933AF">
        <w:t xml:space="preserve"> 30/31 (1981): 82</w:t>
      </w:r>
      <w:r w:rsidR="00B933AF" w:rsidRPr="00B933AF">
        <w:t>–</w:t>
      </w:r>
      <w:r w:rsidRPr="00B933AF">
        <w:t>87.</w:t>
      </w:r>
    </w:p>
  </w:footnote>
  <w:footnote w:id="8">
    <w:p w:rsidR="00343182" w:rsidRPr="00CB248C" w:rsidRDefault="00343182" w:rsidP="00F575BF">
      <w:pPr>
        <w:pStyle w:val="NAPHFootnote"/>
        <w:bidi w:val="0"/>
      </w:pPr>
      <w:r w:rsidRPr="00CB248C">
        <w:rPr>
          <w:rStyle w:val="a9"/>
        </w:rPr>
        <w:footnoteRef/>
      </w:r>
      <w:r w:rsidRPr="00CB248C">
        <w:rPr>
          <w:rtl/>
        </w:rPr>
        <w:t xml:space="preserve"> </w:t>
      </w:r>
      <w:r w:rsidRPr="00CB248C">
        <w:t xml:space="preserve">G. </w:t>
      </w:r>
      <w:proofErr w:type="spellStart"/>
      <w:r w:rsidRPr="00CB248C">
        <w:t>Sarfatti</w:t>
      </w:r>
      <w:proofErr w:type="spellEnd"/>
      <w:r w:rsidRPr="00CB248C">
        <w:t xml:space="preserve">, “The </w:t>
      </w:r>
      <w:r w:rsidR="00E846DD">
        <w:t>L</w:t>
      </w:r>
      <w:r w:rsidRPr="00CB248C">
        <w:t xml:space="preserve">anguage of the Translators,” p. 81; S. </w:t>
      </w:r>
      <w:proofErr w:type="spellStart"/>
      <w:r w:rsidRPr="00CB248C">
        <w:rPr>
          <w:color w:val="000000"/>
        </w:rPr>
        <w:t>Shaer</w:t>
      </w:r>
      <w:proofErr w:type="spellEnd"/>
      <w:r w:rsidRPr="00CB248C">
        <w:rPr>
          <w:color w:val="000000"/>
        </w:rPr>
        <w:t xml:space="preserve">, </w:t>
      </w:r>
      <w:r w:rsidR="00E846DD">
        <w:rPr>
          <w:color w:val="000000"/>
        </w:rPr>
        <w:t>“</w:t>
      </w:r>
      <w:r w:rsidR="00F575BF" w:rsidRPr="00F575BF">
        <w:rPr>
          <w:rFonts w:ascii="SBL Hebrew" w:hAnsi="SBL Hebrew" w:cs="SBL Hebrew"/>
          <w:rtl/>
        </w:rPr>
        <w:t>משפטי זיקה בשיח העברי היומיומי הדבור</w:t>
      </w:r>
      <w:r w:rsidR="00E846DD">
        <w:rPr>
          <w:color w:val="000000"/>
        </w:rPr>
        <w:t>”</w:t>
      </w:r>
      <w:r w:rsidRPr="00CB248C">
        <w:rPr>
          <w:color w:val="000000"/>
        </w:rPr>
        <w:t xml:space="preserve"> (Re</w:t>
      </w:r>
      <w:r w:rsidRPr="00CB248C">
        <w:t>lative clauses in Israeli Hebrew talk-in-interaction; M.A. thesis, University of Haifa, 2007), p. 3.</w:t>
      </w:r>
    </w:p>
  </w:footnote>
  <w:footnote w:id="9">
    <w:p w:rsidR="00343182" w:rsidRPr="00CB248C" w:rsidRDefault="00343182" w:rsidP="00E846DD">
      <w:pPr>
        <w:pStyle w:val="NAPHFootnote"/>
        <w:bidi w:val="0"/>
      </w:pPr>
      <w:r w:rsidRPr="00CB248C">
        <w:rPr>
          <w:rStyle w:val="a9"/>
        </w:rPr>
        <w:footnoteRef/>
      </w:r>
      <w:r w:rsidRPr="00CB248C">
        <w:rPr>
          <w:rtl/>
        </w:rPr>
        <w:t xml:space="preserve"> </w:t>
      </w:r>
      <w:r w:rsidRPr="00CB248C">
        <w:t xml:space="preserve">R. Quirk, S. Leech, and S. </w:t>
      </w:r>
      <w:proofErr w:type="spellStart"/>
      <w:r w:rsidRPr="00CB248C">
        <w:t>Geoffery</w:t>
      </w:r>
      <w:proofErr w:type="spellEnd"/>
      <w:r w:rsidRPr="00CB248C">
        <w:t xml:space="preserve">, </w:t>
      </w:r>
      <w:r w:rsidRPr="00CB248C">
        <w:rPr>
          <w:i/>
          <w:iCs/>
        </w:rPr>
        <w:t>Comprehensive</w:t>
      </w:r>
      <w:r w:rsidRPr="00CB248C">
        <w:t xml:space="preserve"> </w:t>
      </w:r>
      <w:r w:rsidRPr="00CB248C">
        <w:rPr>
          <w:i/>
          <w:iCs/>
        </w:rPr>
        <w:t>Grammar</w:t>
      </w:r>
      <w:r w:rsidRPr="00CB248C">
        <w:t xml:space="preserve"> </w:t>
      </w:r>
      <w:r w:rsidRPr="00CB248C">
        <w:rPr>
          <w:i/>
          <w:iCs/>
        </w:rPr>
        <w:t>of</w:t>
      </w:r>
      <w:r w:rsidRPr="00CB248C">
        <w:t xml:space="preserve"> </w:t>
      </w:r>
      <w:r w:rsidRPr="00CB248C">
        <w:rPr>
          <w:i/>
          <w:iCs/>
        </w:rPr>
        <w:t>the</w:t>
      </w:r>
      <w:r w:rsidRPr="00CB248C">
        <w:t xml:space="preserve"> </w:t>
      </w:r>
      <w:r w:rsidRPr="00CB248C">
        <w:rPr>
          <w:i/>
          <w:iCs/>
        </w:rPr>
        <w:t>English</w:t>
      </w:r>
      <w:r w:rsidRPr="00CB248C">
        <w:t xml:space="preserve"> </w:t>
      </w:r>
      <w:r w:rsidRPr="00CB248C">
        <w:rPr>
          <w:i/>
          <w:iCs/>
        </w:rPr>
        <w:t>Language</w:t>
      </w:r>
      <w:r w:rsidRPr="00CB248C">
        <w:t xml:space="preserve"> (London: Longman, 1985), p. 107.</w:t>
      </w:r>
    </w:p>
  </w:footnote>
  <w:footnote w:id="10">
    <w:p w:rsidR="00343182" w:rsidRPr="00CB248C" w:rsidRDefault="00343182" w:rsidP="00C931EE">
      <w:pPr>
        <w:pStyle w:val="NAPHFootnote"/>
        <w:bidi w:val="0"/>
      </w:pPr>
      <w:r w:rsidRPr="00CB248C">
        <w:rPr>
          <w:rStyle w:val="a9"/>
        </w:rPr>
        <w:footnoteRef/>
      </w:r>
      <w:r>
        <w:t xml:space="preserve"> </w:t>
      </w:r>
      <w:r w:rsidRPr="00CB248C">
        <w:t xml:space="preserve">W. Wright, </w:t>
      </w:r>
      <w:r w:rsidRPr="00CB248C">
        <w:rPr>
          <w:i/>
          <w:iCs/>
        </w:rPr>
        <w:t>A Grammar of the Arabic Language</w:t>
      </w:r>
      <w:r w:rsidRPr="00CB248C">
        <w:t xml:space="preserve"> (Cambridge: Cambridge University Press, 1967), p. 317; </w:t>
      </w:r>
      <w:r>
        <w:t xml:space="preserve">B. K. </w:t>
      </w:r>
      <w:proofErr w:type="spellStart"/>
      <w:r w:rsidRPr="00CB248C">
        <w:t>Waltke</w:t>
      </w:r>
      <w:proofErr w:type="spellEnd"/>
      <w:r w:rsidRPr="00CB248C">
        <w:t xml:space="preserve"> and </w:t>
      </w:r>
      <w:r>
        <w:t>M.</w:t>
      </w:r>
      <w:r w:rsidRPr="00CB248C">
        <w:t xml:space="preserve"> O’Connor, </w:t>
      </w:r>
      <w:r w:rsidRPr="00CB248C">
        <w:rPr>
          <w:i/>
          <w:iCs/>
          <w:lang w:eastAsia="ar-AE" w:bidi="ar-AE"/>
        </w:rPr>
        <w:t>An</w:t>
      </w:r>
      <w:r w:rsidRPr="00CB248C">
        <w:rPr>
          <w:lang w:eastAsia="ar-AE" w:bidi="ar-AE"/>
        </w:rPr>
        <w:t xml:space="preserve"> </w:t>
      </w:r>
      <w:r w:rsidRPr="00CB248C">
        <w:rPr>
          <w:i/>
          <w:iCs/>
        </w:rPr>
        <w:t>Introduction</w:t>
      </w:r>
      <w:r w:rsidRPr="00CB248C">
        <w:t xml:space="preserve"> </w:t>
      </w:r>
      <w:r w:rsidRPr="00CB248C">
        <w:rPr>
          <w:i/>
          <w:iCs/>
        </w:rPr>
        <w:t>to</w:t>
      </w:r>
      <w:r w:rsidRPr="00CB248C">
        <w:t xml:space="preserve"> </w:t>
      </w:r>
      <w:r w:rsidRPr="00CB248C">
        <w:rPr>
          <w:i/>
          <w:iCs/>
        </w:rPr>
        <w:t>Biblical</w:t>
      </w:r>
      <w:r w:rsidRPr="00CB248C">
        <w:t xml:space="preserve"> </w:t>
      </w:r>
      <w:r w:rsidRPr="00CB248C">
        <w:rPr>
          <w:i/>
          <w:iCs/>
        </w:rPr>
        <w:t>Hebrew</w:t>
      </w:r>
      <w:r w:rsidRPr="00CB248C">
        <w:t xml:space="preserve"> </w:t>
      </w:r>
      <w:r w:rsidRPr="00CB248C">
        <w:rPr>
          <w:i/>
          <w:iCs/>
        </w:rPr>
        <w:t>Syntax</w:t>
      </w:r>
      <w:r w:rsidRPr="00CB248C">
        <w:t xml:space="preserve"> (Winona Lake: </w:t>
      </w:r>
      <w:proofErr w:type="spellStart"/>
      <w:r w:rsidRPr="00CB248C">
        <w:t>Eisenbrauns</w:t>
      </w:r>
      <w:proofErr w:type="spellEnd"/>
      <w:r w:rsidRPr="00CB248C">
        <w:t>, 1990), pp. 331</w:t>
      </w:r>
      <w:r w:rsidR="00B933AF">
        <w:t>–</w:t>
      </w:r>
      <w:r w:rsidRPr="00CB248C">
        <w:t xml:space="preserve">340. </w:t>
      </w:r>
    </w:p>
  </w:footnote>
  <w:footnote w:id="11">
    <w:p w:rsidR="00343182" w:rsidRPr="00C931EE" w:rsidRDefault="00343182" w:rsidP="00F575BF">
      <w:pPr>
        <w:pStyle w:val="NAPHFootnote"/>
        <w:bidi w:val="0"/>
      </w:pPr>
      <w:r w:rsidRPr="00C931EE">
        <w:rPr>
          <w:rStyle w:val="a9"/>
        </w:rPr>
        <w:footnoteRef/>
      </w:r>
      <w:r w:rsidRPr="00C931EE">
        <w:t xml:space="preserve"> Y. </w:t>
      </w:r>
      <w:proofErr w:type="spellStart"/>
      <w:r w:rsidRPr="00C931EE">
        <w:t>Peretz</w:t>
      </w:r>
      <w:proofErr w:type="spellEnd"/>
      <w:proofErr w:type="gramStart"/>
      <w:r w:rsidRPr="00C931EE">
        <w:t>,</w:t>
      </w:r>
      <w:r w:rsidR="00F575BF" w:rsidRPr="00F575BF">
        <w:rPr>
          <w:rFonts w:ascii="SBL Hebrew" w:hAnsi="SBL Hebrew" w:cs="SBL Hebrew"/>
          <w:rtl/>
        </w:rPr>
        <w:t>משפט</w:t>
      </w:r>
      <w:proofErr w:type="gramEnd"/>
      <w:r w:rsidR="00F575BF" w:rsidRPr="00F575BF">
        <w:rPr>
          <w:rFonts w:ascii="SBL Hebrew" w:hAnsi="SBL Hebrew" w:cs="SBL Hebrew"/>
          <w:rtl/>
        </w:rPr>
        <w:t xml:space="preserve"> הזיקה בעברית לכל תקופותיה</w:t>
      </w:r>
      <w:r w:rsidR="00F575BF">
        <w:rPr>
          <w:rFonts w:cs="David" w:hint="cs"/>
          <w:rtl/>
        </w:rPr>
        <w:t xml:space="preserve"> </w:t>
      </w:r>
      <w:r w:rsidR="00F575BF">
        <w:rPr>
          <w:rFonts w:cs="David"/>
        </w:rPr>
        <w:t xml:space="preserve"> </w:t>
      </w:r>
      <w:r w:rsidRPr="00C931EE">
        <w:t xml:space="preserve">(The relative clause; Tel Aviv: </w:t>
      </w:r>
      <w:proofErr w:type="spellStart"/>
      <w:r w:rsidRPr="00C931EE">
        <w:t>Dvir</w:t>
      </w:r>
      <w:proofErr w:type="spellEnd"/>
      <w:r w:rsidRPr="00C931EE">
        <w:t>, 1967), p. 80.</w:t>
      </w:r>
    </w:p>
  </w:footnote>
  <w:footnote w:id="12">
    <w:p w:rsidR="00343182" w:rsidRPr="00C931EE" w:rsidRDefault="00343182" w:rsidP="00F575BF">
      <w:pPr>
        <w:pStyle w:val="NAPHFootnote"/>
        <w:bidi w:val="0"/>
        <w:rPr>
          <w:color w:val="000000"/>
          <w:sz w:val="24"/>
          <w:szCs w:val="24"/>
        </w:rPr>
      </w:pPr>
      <w:r w:rsidRPr="00CB248C">
        <w:rPr>
          <w:rStyle w:val="a9"/>
        </w:rPr>
        <w:footnoteRef/>
      </w:r>
      <w:r w:rsidRPr="00CB248C">
        <w:rPr>
          <w:rtl/>
        </w:rPr>
        <w:t xml:space="preserve"> </w:t>
      </w:r>
      <w:r w:rsidRPr="00CB248C">
        <w:t xml:space="preserve">Here and throughout, the original Arabic text of Maimonides’ treatise is quoted from Moshe ben </w:t>
      </w:r>
      <w:proofErr w:type="spellStart"/>
      <w:r w:rsidRPr="00CB248C">
        <w:t>Maimon</w:t>
      </w:r>
      <w:proofErr w:type="spellEnd"/>
      <w:r w:rsidR="00B46DE3">
        <w:t>,</w:t>
      </w:r>
      <w:r w:rsidRPr="00CB248C">
        <w:rPr>
          <w:i/>
          <w:iCs/>
          <w:lang w:eastAsia="ar-AE" w:bidi="ar-AE"/>
        </w:rPr>
        <w:t xml:space="preserve"> On Asthma</w:t>
      </w:r>
      <w:r w:rsidRPr="00CB248C">
        <w:rPr>
          <w:color w:val="000000"/>
        </w:rPr>
        <w:t xml:space="preserve"> (</w:t>
      </w:r>
      <w:r w:rsidRPr="00CB248C">
        <w:rPr>
          <w:lang w:eastAsia="ar-AE" w:bidi="ar-AE"/>
        </w:rPr>
        <w:t xml:space="preserve">ed. and trans. G. </w:t>
      </w:r>
      <w:proofErr w:type="spellStart"/>
      <w:r w:rsidRPr="00CB248C">
        <w:rPr>
          <w:lang w:eastAsia="ar-AE" w:bidi="ar-AE"/>
        </w:rPr>
        <w:t>Bos</w:t>
      </w:r>
      <w:proofErr w:type="spellEnd"/>
      <w:r w:rsidRPr="00CB248C">
        <w:rPr>
          <w:lang w:eastAsia="ar-AE" w:bidi="ar-AE"/>
        </w:rPr>
        <w:t xml:space="preserve">; </w:t>
      </w:r>
      <w:r w:rsidRPr="00CB248C">
        <w:rPr>
          <w:color w:val="000000"/>
        </w:rPr>
        <w:t xml:space="preserve">Provo: </w:t>
      </w:r>
      <w:r w:rsidR="00F575BF">
        <w:t>Brigham Young University Press</w:t>
      </w:r>
      <w:r w:rsidR="00C931EE">
        <w:rPr>
          <w:color w:val="000000"/>
        </w:rPr>
        <w:t xml:space="preserve">, 2002). </w:t>
      </w:r>
    </w:p>
  </w:footnote>
  <w:footnote w:id="13">
    <w:p w:rsidR="00343182" w:rsidRPr="00CB248C" w:rsidRDefault="00343182" w:rsidP="00037262">
      <w:pPr>
        <w:pStyle w:val="NAPHFootnote"/>
        <w:bidi w:val="0"/>
      </w:pPr>
      <w:r w:rsidRPr="00CB248C">
        <w:rPr>
          <w:rStyle w:val="a9"/>
        </w:rPr>
        <w:footnoteRef/>
      </w:r>
      <w:r w:rsidRPr="00CB248C">
        <w:rPr>
          <w:rtl/>
        </w:rPr>
        <w:t xml:space="preserve"> </w:t>
      </w:r>
      <w:r w:rsidRPr="00CB248C">
        <w:t xml:space="preserve">Y. </w:t>
      </w:r>
      <w:proofErr w:type="spellStart"/>
      <w:r w:rsidRPr="00CB248C">
        <w:t>Blau</w:t>
      </w:r>
      <w:proofErr w:type="spellEnd"/>
      <w:r w:rsidRPr="00CB248C">
        <w:t xml:space="preserve">, </w:t>
      </w:r>
      <w:r w:rsidR="00037262" w:rsidRPr="00037262">
        <w:rPr>
          <w:rFonts w:ascii="SBL Hebrew" w:hAnsi="SBL Hebrew" w:cs="SBL Hebrew"/>
          <w:rtl/>
        </w:rPr>
        <w:t>זוטות מתחום משפטי הזיקה בעברית המקראית</w:t>
      </w:r>
      <w:r w:rsidR="00037262">
        <w:rPr>
          <w:rFonts w:cs="David"/>
        </w:rPr>
        <w:t xml:space="preserve"> </w:t>
      </w:r>
      <w:r w:rsidRPr="00CB248C">
        <w:t xml:space="preserve">(Notes on relative clause in Biblical Hebrew), in </w:t>
      </w:r>
      <w:r w:rsidR="00037262" w:rsidRPr="00037262">
        <w:rPr>
          <w:rFonts w:ascii="SBL Hebrew" w:hAnsi="SBL Hebrew" w:cs="SBL Hebrew"/>
          <w:rtl/>
        </w:rPr>
        <w:t>עיונים בבלשנות עברית</w:t>
      </w:r>
      <w:r w:rsidR="00037262" w:rsidRPr="00CB248C">
        <w:t xml:space="preserve"> </w:t>
      </w:r>
      <w:r w:rsidRPr="00CB248C">
        <w:t>(</w:t>
      </w:r>
      <w:r w:rsidR="00E34C3D" w:rsidRPr="00CB248C">
        <w:t>Studies in Hebrew linguistics</w:t>
      </w:r>
      <w:r w:rsidR="00037262">
        <w:t>; ed.</w:t>
      </w:r>
      <w:r w:rsidR="00E34C3D" w:rsidRPr="00037262">
        <w:t xml:space="preserve"> Y. </w:t>
      </w:r>
      <w:proofErr w:type="spellStart"/>
      <w:r w:rsidR="00E34C3D" w:rsidRPr="00037262">
        <w:t>Blau</w:t>
      </w:r>
      <w:proofErr w:type="spellEnd"/>
      <w:r w:rsidRPr="00037262">
        <w:t>;</w:t>
      </w:r>
      <w:r w:rsidRPr="00CB248C">
        <w:t xml:space="preserve"> </w:t>
      </w:r>
      <w:r w:rsidR="00037262">
        <w:rPr>
          <w:rFonts w:cs="David"/>
        </w:rPr>
        <w:t xml:space="preserve">Jerusalem: </w:t>
      </w:r>
      <w:proofErr w:type="spellStart"/>
      <w:r w:rsidR="00037262">
        <w:rPr>
          <w:rFonts w:cs="David"/>
        </w:rPr>
        <w:t>Magnes</w:t>
      </w:r>
      <w:proofErr w:type="spellEnd"/>
      <w:r w:rsidRPr="00CB248C">
        <w:t>, 1996), p. 50.</w:t>
      </w:r>
    </w:p>
  </w:footnote>
  <w:footnote w:id="14">
    <w:p w:rsidR="00343182" w:rsidRPr="00CB248C" w:rsidRDefault="00343182" w:rsidP="00037262">
      <w:pPr>
        <w:pStyle w:val="NAPHFootnote"/>
        <w:bidi w:val="0"/>
      </w:pPr>
      <w:r w:rsidRPr="00CB248C">
        <w:rPr>
          <w:rStyle w:val="a9"/>
        </w:rPr>
        <w:footnoteRef/>
      </w:r>
      <w:r>
        <w:t xml:space="preserve"> </w:t>
      </w:r>
      <w:r w:rsidR="00037262">
        <w:t>M. Azar</w:t>
      </w:r>
      <w:proofErr w:type="gramStart"/>
      <w:r w:rsidR="00037262">
        <w:t>,</w:t>
      </w:r>
      <w:r w:rsidR="00037262" w:rsidRPr="00037262">
        <w:rPr>
          <w:rFonts w:ascii="SBL Hebrew" w:hAnsi="SBL Hebrew" w:cs="SBL Hebrew"/>
          <w:rtl/>
        </w:rPr>
        <w:t>תחביר</w:t>
      </w:r>
      <w:proofErr w:type="gramEnd"/>
      <w:r w:rsidR="00037262" w:rsidRPr="00037262">
        <w:rPr>
          <w:rFonts w:ascii="SBL Hebrew" w:hAnsi="SBL Hebrew" w:cs="SBL Hebrew"/>
          <w:rtl/>
        </w:rPr>
        <w:t xml:space="preserve"> לשון המשנה</w:t>
      </w:r>
      <w:r w:rsidR="00037262" w:rsidRPr="0026085D">
        <w:rPr>
          <w:rFonts w:cs="David" w:hint="cs"/>
          <w:rtl/>
        </w:rPr>
        <w:t xml:space="preserve"> </w:t>
      </w:r>
      <w:r w:rsidR="00037262">
        <w:rPr>
          <w:rFonts w:cs="David"/>
        </w:rPr>
        <w:t xml:space="preserve"> </w:t>
      </w:r>
      <w:r w:rsidRPr="00CB248C">
        <w:t xml:space="preserve">(The syntax of </w:t>
      </w:r>
      <w:proofErr w:type="spellStart"/>
      <w:r w:rsidRPr="00CB248C">
        <w:t>Mishnaic</w:t>
      </w:r>
      <w:proofErr w:type="spellEnd"/>
      <w:r w:rsidRPr="00CB248C">
        <w:t xml:space="preserve"> Hebrew; Jerusalem: The Academy of Hebrew Language, 1995), p. 214. </w:t>
      </w:r>
    </w:p>
  </w:footnote>
  <w:footnote w:id="15">
    <w:p w:rsidR="00343182" w:rsidRPr="00CB248C" w:rsidRDefault="00343182" w:rsidP="00037262">
      <w:pPr>
        <w:pStyle w:val="NAPHFootnote"/>
        <w:bidi w:val="0"/>
      </w:pPr>
      <w:r w:rsidRPr="00CB248C">
        <w:rPr>
          <w:rStyle w:val="a9"/>
        </w:rPr>
        <w:footnoteRef/>
      </w:r>
      <w:r>
        <w:t xml:space="preserve"> </w:t>
      </w:r>
      <w:r w:rsidR="00037262">
        <w:t>M. Goshen-Gottstein</w:t>
      </w:r>
      <w:proofErr w:type="gramStart"/>
      <w:r w:rsidR="00037262">
        <w:t>,</w:t>
      </w:r>
      <w:r w:rsidR="00037262" w:rsidRPr="00037262">
        <w:rPr>
          <w:rFonts w:ascii="SBL Hebrew" w:hAnsi="SBL Hebrew" w:cs="SBL Hebrew"/>
          <w:rtl/>
        </w:rPr>
        <w:t>תחבירה</w:t>
      </w:r>
      <w:proofErr w:type="gramEnd"/>
      <w:r w:rsidR="00037262" w:rsidRPr="00037262">
        <w:rPr>
          <w:rFonts w:ascii="SBL Hebrew" w:hAnsi="SBL Hebrew" w:cs="SBL Hebrew"/>
          <w:rtl/>
        </w:rPr>
        <w:t xml:space="preserve"> ומילונה של הלשון העברית שבתחום השפעתה של הערבית</w:t>
      </w:r>
      <w:r w:rsidR="00037262">
        <w:rPr>
          <w:rFonts w:cs="David" w:hint="cs"/>
          <w:rtl/>
        </w:rPr>
        <w:t xml:space="preserve"> </w:t>
      </w:r>
      <w:r w:rsidR="00037262">
        <w:rPr>
          <w:rFonts w:cs="David"/>
        </w:rPr>
        <w:t xml:space="preserve"> </w:t>
      </w:r>
      <w:r w:rsidRPr="00CB248C">
        <w:t>(Syntax and vocabu</w:t>
      </w:r>
      <w:r w:rsidR="00037262">
        <w:softHyphen/>
      </w:r>
      <w:r w:rsidRPr="00CB248C">
        <w:t xml:space="preserve">lary of Mediaeval Hebrew; revised by S. </w:t>
      </w:r>
      <w:proofErr w:type="spellStart"/>
      <w:r w:rsidRPr="00CB248C">
        <w:t>Assif</w:t>
      </w:r>
      <w:proofErr w:type="spellEnd"/>
      <w:r w:rsidRPr="00CB248C">
        <w:t xml:space="preserve"> and U. </w:t>
      </w:r>
      <w:proofErr w:type="spellStart"/>
      <w:r w:rsidRPr="00CB248C">
        <w:t>Melammed</w:t>
      </w:r>
      <w:proofErr w:type="spellEnd"/>
      <w:r w:rsidRPr="00CB248C">
        <w:t xml:space="preserve">; Jerusalem: Ben </w:t>
      </w:r>
      <w:proofErr w:type="spellStart"/>
      <w:r w:rsidRPr="00CB248C">
        <w:t>Zvi</w:t>
      </w:r>
      <w:proofErr w:type="spellEnd"/>
      <w:r w:rsidRPr="00CB248C">
        <w:t xml:space="preserve"> Institute, 2006), p. 255.</w:t>
      </w:r>
    </w:p>
  </w:footnote>
  <w:footnote w:id="16">
    <w:p w:rsidR="00343182" w:rsidRPr="00425CFF" w:rsidRDefault="00343182" w:rsidP="00425CFF">
      <w:pPr>
        <w:pStyle w:val="NAPHFootnote"/>
        <w:bidi w:val="0"/>
      </w:pPr>
      <w:r w:rsidRPr="00425CFF">
        <w:rPr>
          <w:rStyle w:val="a9"/>
        </w:rPr>
        <w:footnoteRef/>
      </w:r>
      <w:r w:rsidRPr="00425CFF">
        <w:rPr>
          <w:rtl/>
        </w:rPr>
        <w:t xml:space="preserve"> </w:t>
      </w:r>
      <w:r w:rsidRPr="00425CFF">
        <w:t xml:space="preserve">M. Goshen-Gottstein, </w:t>
      </w:r>
      <w:r w:rsidRPr="00425CFF">
        <w:rPr>
          <w:i/>
          <w:iCs/>
        </w:rPr>
        <w:t>Syntax and Vocabulary</w:t>
      </w:r>
      <w:r w:rsidRPr="00425CFF">
        <w:t>, p. 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42" w:rsidRPr="00107384" w:rsidRDefault="00985C42" w:rsidP="006379CB">
    <w:pPr>
      <w:pStyle w:val="a3"/>
      <w:bidi w:val="0"/>
      <w:rPr>
        <w:rFonts w:asciiTheme="majorBidi" w:hAnsiTheme="majorBidi" w:cstheme="majorBidi"/>
        <w:i/>
        <w:iCs/>
        <w:sz w:val="28"/>
        <w:szCs w:val="28"/>
      </w:rPr>
    </w:pPr>
    <w:r w:rsidRPr="006379CB">
      <w:rPr>
        <w:rFonts w:asciiTheme="majorBidi" w:hAnsiTheme="majorBidi" w:cstheme="majorBidi"/>
        <w:i/>
        <w:iCs/>
        <w:sz w:val="28"/>
        <w:szCs w:val="28"/>
      </w:rPr>
      <w:t>Hebrew Studies</w:t>
    </w:r>
    <w:r w:rsidRPr="00985C42">
      <w:rPr>
        <w:rFonts w:asciiTheme="majorBidi" w:hAnsiTheme="majorBidi" w:cstheme="majorBidi"/>
        <w:sz w:val="28"/>
        <w:szCs w:val="28"/>
      </w:rPr>
      <w:t xml:space="preserve"> </w:t>
    </w:r>
    <w:r>
      <w:rPr>
        <w:rFonts w:asciiTheme="majorBidi" w:hAnsiTheme="majorBidi" w:cstheme="majorBidi"/>
        <w:sz w:val="28"/>
        <w:szCs w:val="28"/>
      </w:rPr>
      <w:t>55 (2014)</w:t>
    </w:r>
    <w:r>
      <w:rPr>
        <w:rFonts w:asciiTheme="majorBidi" w:hAnsiTheme="majorBidi" w:cstheme="majorBidi"/>
        <w:sz w:val="28"/>
        <w:szCs w:val="28"/>
      </w:rPr>
      <w:tab/>
    </w:r>
    <w:r w:rsidRPr="00985C42">
      <w:rPr>
        <w:rFonts w:asciiTheme="majorBidi" w:hAnsiTheme="majorBidi" w:cstheme="majorBidi"/>
        <w:sz w:val="28"/>
        <w:szCs w:val="28"/>
      </w:rPr>
      <w:fldChar w:fldCharType="begin"/>
    </w:r>
    <w:r w:rsidRPr="00985C42">
      <w:rPr>
        <w:rFonts w:asciiTheme="majorBidi" w:hAnsiTheme="majorBidi" w:cstheme="majorBidi"/>
        <w:sz w:val="28"/>
        <w:szCs w:val="28"/>
      </w:rPr>
      <w:instrText xml:space="preserve"> PAGE   \* MERGEFORMAT </w:instrText>
    </w:r>
    <w:r w:rsidRPr="00985C42">
      <w:rPr>
        <w:rFonts w:asciiTheme="majorBidi" w:hAnsiTheme="majorBidi" w:cstheme="majorBidi"/>
        <w:sz w:val="28"/>
        <w:szCs w:val="28"/>
      </w:rPr>
      <w:fldChar w:fldCharType="separate"/>
    </w:r>
    <w:r w:rsidR="00E8698E">
      <w:rPr>
        <w:rFonts w:asciiTheme="majorBidi" w:hAnsiTheme="majorBidi" w:cstheme="majorBidi"/>
        <w:noProof/>
        <w:sz w:val="28"/>
        <w:szCs w:val="28"/>
      </w:rPr>
      <w:t>126</w:t>
    </w:r>
    <w:r w:rsidRPr="00985C42">
      <w:rPr>
        <w:rFonts w:asciiTheme="majorBidi" w:hAnsiTheme="majorBidi" w:cstheme="majorBidi"/>
        <w:noProof/>
        <w:sz w:val="28"/>
        <w:szCs w:val="28"/>
      </w:rPr>
      <w:fldChar w:fldCharType="end"/>
    </w:r>
    <w:r>
      <w:rPr>
        <w:rFonts w:asciiTheme="majorBidi" w:hAnsiTheme="majorBidi" w:cstheme="majorBidi"/>
        <w:noProof/>
        <w:sz w:val="28"/>
        <w:szCs w:val="28"/>
      </w:rPr>
      <w:tab/>
    </w:r>
    <w:r w:rsidR="006379CB">
      <w:rPr>
        <w:rFonts w:asciiTheme="majorBidi" w:hAnsiTheme="majorBidi" w:cstheme="majorBidi"/>
        <w:noProof/>
        <w:sz w:val="28"/>
        <w:szCs w:val="28"/>
      </w:rPr>
      <w:t>Shakour</w:t>
    </w:r>
    <w:r>
      <w:rPr>
        <w:rFonts w:asciiTheme="majorBidi" w:hAnsiTheme="majorBidi" w:cstheme="majorBidi"/>
        <w:noProof/>
        <w:sz w:val="28"/>
        <w:szCs w:val="28"/>
      </w:rPr>
      <w:t xml:space="preserve">: </w:t>
    </w:r>
    <w:r>
      <w:rPr>
        <w:rFonts w:asciiTheme="majorBidi" w:hAnsiTheme="majorBidi" w:cstheme="majorBidi"/>
        <w:i/>
        <w:iCs/>
        <w:noProof/>
        <w:sz w:val="28"/>
        <w:szCs w:val="28"/>
      </w:rPr>
      <w:t xml:space="preserve">Relative </w:t>
    </w:r>
    <w:r w:rsidR="006379CB">
      <w:rPr>
        <w:rFonts w:asciiTheme="majorBidi" w:hAnsiTheme="majorBidi" w:cstheme="majorBidi"/>
        <w:i/>
        <w:iCs/>
        <w:noProof/>
        <w:sz w:val="28"/>
        <w:szCs w:val="28"/>
      </w:rPr>
      <w:t>Clauses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8A2"/>
    <w:multiLevelType w:val="hybridMultilevel"/>
    <w:tmpl w:val="C9C87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0274E5"/>
    <w:multiLevelType w:val="hybridMultilevel"/>
    <w:tmpl w:val="AE7EA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42"/>
    <w:rsid w:val="00037262"/>
    <w:rsid w:val="000417A9"/>
    <w:rsid w:val="000C16F7"/>
    <w:rsid w:val="000F580C"/>
    <w:rsid w:val="00107384"/>
    <w:rsid w:val="001F2651"/>
    <w:rsid w:val="0020768E"/>
    <w:rsid w:val="00213524"/>
    <w:rsid w:val="002D7978"/>
    <w:rsid w:val="002E5DAA"/>
    <w:rsid w:val="00333FD8"/>
    <w:rsid w:val="00343182"/>
    <w:rsid w:val="003528D8"/>
    <w:rsid w:val="00390A9B"/>
    <w:rsid w:val="003E13DB"/>
    <w:rsid w:val="0040317D"/>
    <w:rsid w:val="00425CFF"/>
    <w:rsid w:val="00487F4E"/>
    <w:rsid w:val="00564723"/>
    <w:rsid w:val="00615578"/>
    <w:rsid w:val="006379CB"/>
    <w:rsid w:val="006A1FE9"/>
    <w:rsid w:val="006B60FD"/>
    <w:rsid w:val="0078190F"/>
    <w:rsid w:val="007E011B"/>
    <w:rsid w:val="00857346"/>
    <w:rsid w:val="00876525"/>
    <w:rsid w:val="008852E7"/>
    <w:rsid w:val="00894F9E"/>
    <w:rsid w:val="008F24E4"/>
    <w:rsid w:val="0093024A"/>
    <w:rsid w:val="00933E95"/>
    <w:rsid w:val="00985C42"/>
    <w:rsid w:val="00986ED5"/>
    <w:rsid w:val="00AD264B"/>
    <w:rsid w:val="00B46DE3"/>
    <w:rsid w:val="00B84292"/>
    <w:rsid w:val="00B933AF"/>
    <w:rsid w:val="00B97E07"/>
    <w:rsid w:val="00BB4494"/>
    <w:rsid w:val="00BD67AC"/>
    <w:rsid w:val="00BE3818"/>
    <w:rsid w:val="00C44DF2"/>
    <w:rsid w:val="00C92A0F"/>
    <w:rsid w:val="00C931EE"/>
    <w:rsid w:val="00CB3CD8"/>
    <w:rsid w:val="00D07C63"/>
    <w:rsid w:val="00D1411E"/>
    <w:rsid w:val="00D43319"/>
    <w:rsid w:val="00D51418"/>
    <w:rsid w:val="00D60939"/>
    <w:rsid w:val="00DD21D2"/>
    <w:rsid w:val="00DF1E03"/>
    <w:rsid w:val="00E17710"/>
    <w:rsid w:val="00E339D0"/>
    <w:rsid w:val="00E34C3D"/>
    <w:rsid w:val="00E70B7E"/>
    <w:rsid w:val="00E846DD"/>
    <w:rsid w:val="00E8698E"/>
    <w:rsid w:val="00E87BE8"/>
    <w:rsid w:val="00E91AA2"/>
    <w:rsid w:val="00ED62CB"/>
    <w:rsid w:val="00EE720E"/>
    <w:rsid w:val="00F422AF"/>
    <w:rsid w:val="00F575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82"/>
    <w:pPr>
      <w:suppressAutoHyphens/>
      <w:bidi/>
      <w:spacing w:after="0" w:line="240" w:lineRule="auto"/>
    </w:pPr>
    <w:rPr>
      <w:rFonts w:ascii="Times New Roman" w:eastAsia="Times New Roman" w:hAnsi="Times New Roman" w:cs="David"/>
      <w:sz w:val="24"/>
      <w:szCs w:val="24"/>
      <w:lang w:eastAsia="he-IL"/>
    </w:rPr>
  </w:style>
  <w:style w:type="paragraph" w:styleId="1">
    <w:name w:val="heading 1"/>
    <w:basedOn w:val="NAPHText"/>
    <w:next w:val="NAPHText"/>
    <w:link w:val="10"/>
    <w:uiPriority w:val="9"/>
    <w:qFormat/>
    <w:rsid w:val="00390A9B"/>
    <w:pPr>
      <w:ind w:firstLine="0"/>
      <w:outlineLvl w:val="0"/>
    </w:pPr>
    <w:rPr>
      <w:b/>
      <w:smallCaps/>
    </w:rPr>
  </w:style>
  <w:style w:type="paragraph" w:styleId="2">
    <w:name w:val="heading 2"/>
    <w:basedOn w:val="NAPHText"/>
    <w:next w:val="NAPHText"/>
    <w:link w:val="20"/>
    <w:uiPriority w:val="9"/>
    <w:unhideWhenUsed/>
    <w:qFormat/>
    <w:rsid w:val="00333FD8"/>
    <w:pPr>
      <w:ind w:firstLine="0"/>
      <w:outlineLvl w:val="1"/>
    </w:pPr>
    <w:rPr>
      <w:b/>
      <w:bCs/>
    </w:rPr>
  </w:style>
  <w:style w:type="paragraph" w:styleId="3">
    <w:name w:val="heading 3"/>
    <w:basedOn w:val="NAPHText"/>
    <w:next w:val="a"/>
    <w:link w:val="30"/>
    <w:uiPriority w:val="9"/>
    <w:unhideWhenUsed/>
    <w:qFormat/>
    <w:rsid w:val="00333FD8"/>
    <w:pPr>
      <w:ind w:firstLine="0"/>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PHText">
    <w:name w:val="NAPH Text"/>
    <w:basedOn w:val="a"/>
    <w:qFormat/>
    <w:rsid w:val="00985C42"/>
    <w:pPr>
      <w:spacing w:line="320" w:lineRule="exact"/>
      <w:ind w:firstLine="360"/>
      <w:jc w:val="both"/>
    </w:pPr>
    <w:rPr>
      <w:rFonts w:cs="Times New Roman"/>
      <w:sz w:val="28"/>
      <w:szCs w:val="28"/>
    </w:rPr>
  </w:style>
  <w:style w:type="paragraph" w:styleId="a3">
    <w:name w:val="header"/>
    <w:basedOn w:val="a"/>
    <w:link w:val="a4"/>
    <w:uiPriority w:val="99"/>
    <w:unhideWhenUsed/>
    <w:rsid w:val="00985C42"/>
    <w:pPr>
      <w:tabs>
        <w:tab w:val="center" w:pos="4680"/>
        <w:tab w:val="right" w:pos="9360"/>
      </w:tabs>
    </w:pPr>
  </w:style>
  <w:style w:type="character" w:customStyle="1" w:styleId="a4">
    <w:name w:val="כותרת עליונה תו"/>
    <w:basedOn w:val="a0"/>
    <w:link w:val="a3"/>
    <w:uiPriority w:val="99"/>
    <w:rsid w:val="00985C42"/>
  </w:style>
  <w:style w:type="paragraph" w:styleId="a5">
    <w:name w:val="footer"/>
    <w:basedOn w:val="a"/>
    <w:link w:val="a6"/>
    <w:uiPriority w:val="99"/>
    <w:unhideWhenUsed/>
    <w:rsid w:val="00985C42"/>
    <w:pPr>
      <w:tabs>
        <w:tab w:val="center" w:pos="4680"/>
        <w:tab w:val="right" w:pos="9360"/>
      </w:tabs>
    </w:pPr>
  </w:style>
  <w:style w:type="character" w:customStyle="1" w:styleId="a6">
    <w:name w:val="כותרת תחתונה תו"/>
    <w:basedOn w:val="a0"/>
    <w:link w:val="a5"/>
    <w:uiPriority w:val="99"/>
    <w:rsid w:val="00985C42"/>
  </w:style>
  <w:style w:type="paragraph" w:customStyle="1" w:styleId="NAPHQuote">
    <w:name w:val="NAPH Quote"/>
    <w:basedOn w:val="NAPHText"/>
    <w:next w:val="NAPHText"/>
    <w:qFormat/>
    <w:rsid w:val="00D1411E"/>
    <w:pPr>
      <w:spacing w:line="260" w:lineRule="exact"/>
      <w:ind w:left="540" w:right="540" w:firstLine="0"/>
    </w:pPr>
    <w:rPr>
      <w:sz w:val="24"/>
      <w:szCs w:val="24"/>
    </w:rPr>
  </w:style>
  <w:style w:type="paragraph" w:customStyle="1" w:styleId="NAPHTitle">
    <w:name w:val="NAPH Title"/>
    <w:basedOn w:val="NAPHText"/>
    <w:next w:val="NAPHText"/>
    <w:qFormat/>
    <w:rsid w:val="00390A9B"/>
    <w:pPr>
      <w:jc w:val="center"/>
    </w:pPr>
    <w:rPr>
      <w:b/>
      <w:caps/>
    </w:rPr>
  </w:style>
  <w:style w:type="paragraph" w:customStyle="1" w:styleId="NAPHAuthor">
    <w:name w:val="NAPH Author"/>
    <w:basedOn w:val="NAPHText"/>
    <w:qFormat/>
    <w:rsid w:val="00390A9B"/>
    <w:pPr>
      <w:jc w:val="center"/>
    </w:pPr>
  </w:style>
  <w:style w:type="paragraph" w:customStyle="1" w:styleId="NAPHInstitution">
    <w:name w:val="NAPH Institution"/>
    <w:basedOn w:val="NAPHAuthor"/>
    <w:next w:val="NAPHText"/>
    <w:qFormat/>
    <w:rsid w:val="00390A9B"/>
    <w:rPr>
      <w:i/>
      <w:iCs/>
      <w:sz w:val="24"/>
      <w:szCs w:val="24"/>
    </w:rPr>
  </w:style>
  <w:style w:type="character" w:customStyle="1" w:styleId="10">
    <w:name w:val="כותרת 1 תו"/>
    <w:basedOn w:val="a0"/>
    <w:link w:val="1"/>
    <w:uiPriority w:val="9"/>
    <w:rsid w:val="00390A9B"/>
    <w:rPr>
      <w:rFonts w:ascii="Times New Roman" w:hAnsi="Times New Roman" w:cs="Times New Roman"/>
      <w:b/>
      <w:smallCaps/>
      <w:sz w:val="28"/>
      <w:szCs w:val="28"/>
    </w:rPr>
  </w:style>
  <w:style w:type="character" w:customStyle="1" w:styleId="20">
    <w:name w:val="כותרת 2 תו"/>
    <w:basedOn w:val="a0"/>
    <w:link w:val="2"/>
    <w:uiPriority w:val="9"/>
    <w:rsid w:val="00333FD8"/>
    <w:rPr>
      <w:rFonts w:ascii="Times New Roman" w:hAnsi="Times New Roman" w:cs="Times New Roman"/>
      <w:b/>
      <w:bCs/>
      <w:sz w:val="28"/>
      <w:szCs w:val="28"/>
    </w:rPr>
  </w:style>
  <w:style w:type="character" w:customStyle="1" w:styleId="30">
    <w:name w:val="כותרת 3 תו"/>
    <w:basedOn w:val="a0"/>
    <w:link w:val="3"/>
    <w:uiPriority w:val="9"/>
    <w:rsid w:val="00333FD8"/>
    <w:rPr>
      <w:rFonts w:ascii="Times New Roman" w:hAnsi="Times New Roman" w:cs="Times New Roman"/>
      <w:i/>
      <w:iCs/>
      <w:sz w:val="28"/>
      <w:szCs w:val="28"/>
    </w:rPr>
  </w:style>
  <w:style w:type="paragraph" w:customStyle="1" w:styleId="Style1">
    <w:name w:val="Style1"/>
    <w:basedOn w:val="3"/>
    <w:next w:val="NAPHText"/>
    <w:qFormat/>
    <w:rsid w:val="00333FD8"/>
  </w:style>
  <w:style w:type="paragraph" w:styleId="a7">
    <w:name w:val="footnote text"/>
    <w:basedOn w:val="a"/>
    <w:link w:val="a8"/>
    <w:semiHidden/>
    <w:unhideWhenUsed/>
    <w:rsid w:val="00333FD8"/>
    <w:rPr>
      <w:sz w:val="20"/>
      <w:szCs w:val="20"/>
    </w:rPr>
  </w:style>
  <w:style w:type="character" w:customStyle="1" w:styleId="a8">
    <w:name w:val="טקסט הערת שוליים תו"/>
    <w:basedOn w:val="a0"/>
    <w:link w:val="a7"/>
    <w:uiPriority w:val="99"/>
    <w:semiHidden/>
    <w:rsid w:val="00333FD8"/>
    <w:rPr>
      <w:sz w:val="20"/>
      <w:szCs w:val="20"/>
    </w:rPr>
  </w:style>
  <w:style w:type="character" w:styleId="a9">
    <w:name w:val="footnote reference"/>
    <w:basedOn w:val="a0"/>
    <w:semiHidden/>
    <w:unhideWhenUsed/>
    <w:rsid w:val="00333FD8"/>
    <w:rPr>
      <w:vertAlign w:val="superscript"/>
    </w:rPr>
  </w:style>
  <w:style w:type="paragraph" w:customStyle="1" w:styleId="NAPHFootnote">
    <w:name w:val="NAPH Footnote"/>
    <w:basedOn w:val="a7"/>
    <w:qFormat/>
    <w:rsid w:val="0078190F"/>
    <w:pPr>
      <w:spacing w:line="220" w:lineRule="exact"/>
      <w:jc w:val="both"/>
    </w:pPr>
    <w:rPr>
      <w:rFonts w:cs="Times New Roman"/>
    </w:rPr>
  </w:style>
  <w:style w:type="paragraph" w:styleId="NormalWeb">
    <w:name w:val="Normal (Web)"/>
    <w:basedOn w:val="a"/>
    <w:rsid w:val="00343182"/>
    <w:pPr>
      <w:suppressAutoHyphens w:val="0"/>
      <w:bidi w:val="0"/>
      <w:spacing w:before="100" w:beforeAutospacing="1" w:after="100" w:afterAutospacing="1"/>
    </w:pPr>
    <w:rPr>
      <w:rFonts w:cs="Times New Roman"/>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82"/>
    <w:pPr>
      <w:suppressAutoHyphens/>
      <w:bidi/>
      <w:spacing w:after="0" w:line="240" w:lineRule="auto"/>
    </w:pPr>
    <w:rPr>
      <w:rFonts w:ascii="Times New Roman" w:eastAsia="Times New Roman" w:hAnsi="Times New Roman" w:cs="David"/>
      <w:sz w:val="24"/>
      <w:szCs w:val="24"/>
      <w:lang w:eastAsia="he-IL"/>
    </w:rPr>
  </w:style>
  <w:style w:type="paragraph" w:styleId="1">
    <w:name w:val="heading 1"/>
    <w:basedOn w:val="NAPHText"/>
    <w:next w:val="NAPHText"/>
    <w:link w:val="10"/>
    <w:uiPriority w:val="9"/>
    <w:qFormat/>
    <w:rsid w:val="00390A9B"/>
    <w:pPr>
      <w:ind w:firstLine="0"/>
      <w:outlineLvl w:val="0"/>
    </w:pPr>
    <w:rPr>
      <w:b/>
      <w:smallCaps/>
    </w:rPr>
  </w:style>
  <w:style w:type="paragraph" w:styleId="2">
    <w:name w:val="heading 2"/>
    <w:basedOn w:val="NAPHText"/>
    <w:next w:val="NAPHText"/>
    <w:link w:val="20"/>
    <w:uiPriority w:val="9"/>
    <w:unhideWhenUsed/>
    <w:qFormat/>
    <w:rsid w:val="00333FD8"/>
    <w:pPr>
      <w:ind w:firstLine="0"/>
      <w:outlineLvl w:val="1"/>
    </w:pPr>
    <w:rPr>
      <w:b/>
      <w:bCs/>
    </w:rPr>
  </w:style>
  <w:style w:type="paragraph" w:styleId="3">
    <w:name w:val="heading 3"/>
    <w:basedOn w:val="NAPHText"/>
    <w:next w:val="a"/>
    <w:link w:val="30"/>
    <w:uiPriority w:val="9"/>
    <w:unhideWhenUsed/>
    <w:qFormat/>
    <w:rsid w:val="00333FD8"/>
    <w:pPr>
      <w:ind w:firstLine="0"/>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PHText">
    <w:name w:val="NAPH Text"/>
    <w:basedOn w:val="a"/>
    <w:qFormat/>
    <w:rsid w:val="00985C42"/>
    <w:pPr>
      <w:spacing w:line="320" w:lineRule="exact"/>
      <w:ind w:firstLine="360"/>
      <w:jc w:val="both"/>
    </w:pPr>
    <w:rPr>
      <w:rFonts w:cs="Times New Roman"/>
      <w:sz w:val="28"/>
      <w:szCs w:val="28"/>
    </w:rPr>
  </w:style>
  <w:style w:type="paragraph" w:styleId="a3">
    <w:name w:val="header"/>
    <w:basedOn w:val="a"/>
    <w:link w:val="a4"/>
    <w:uiPriority w:val="99"/>
    <w:unhideWhenUsed/>
    <w:rsid w:val="00985C42"/>
    <w:pPr>
      <w:tabs>
        <w:tab w:val="center" w:pos="4680"/>
        <w:tab w:val="right" w:pos="9360"/>
      </w:tabs>
    </w:pPr>
  </w:style>
  <w:style w:type="character" w:customStyle="1" w:styleId="a4">
    <w:name w:val="כותרת עליונה תו"/>
    <w:basedOn w:val="a0"/>
    <w:link w:val="a3"/>
    <w:uiPriority w:val="99"/>
    <w:rsid w:val="00985C42"/>
  </w:style>
  <w:style w:type="paragraph" w:styleId="a5">
    <w:name w:val="footer"/>
    <w:basedOn w:val="a"/>
    <w:link w:val="a6"/>
    <w:uiPriority w:val="99"/>
    <w:unhideWhenUsed/>
    <w:rsid w:val="00985C42"/>
    <w:pPr>
      <w:tabs>
        <w:tab w:val="center" w:pos="4680"/>
        <w:tab w:val="right" w:pos="9360"/>
      </w:tabs>
    </w:pPr>
  </w:style>
  <w:style w:type="character" w:customStyle="1" w:styleId="a6">
    <w:name w:val="כותרת תחתונה תו"/>
    <w:basedOn w:val="a0"/>
    <w:link w:val="a5"/>
    <w:uiPriority w:val="99"/>
    <w:rsid w:val="00985C42"/>
  </w:style>
  <w:style w:type="paragraph" w:customStyle="1" w:styleId="NAPHQuote">
    <w:name w:val="NAPH Quote"/>
    <w:basedOn w:val="NAPHText"/>
    <w:next w:val="NAPHText"/>
    <w:qFormat/>
    <w:rsid w:val="00D1411E"/>
    <w:pPr>
      <w:spacing w:line="260" w:lineRule="exact"/>
      <w:ind w:left="540" w:right="540" w:firstLine="0"/>
    </w:pPr>
    <w:rPr>
      <w:sz w:val="24"/>
      <w:szCs w:val="24"/>
    </w:rPr>
  </w:style>
  <w:style w:type="paragraph" w:customStyle="1" w:styleId="NAPHTitle">
    <w:name w:val="NAPH Title"/>
    <w:basedOn w:val="NAPHText"/>
    <w:next w:val="NAPHText"/>
    <w:qFormat/>
    <w:rsid w:val="00390A9B"/>
    <w:pPr>
      <w:jc w:val="center"/>
    </w:pPr>
    <w:rPr>
      <w:b/>
      <w:caps/>
    </w:rPr>
  </w:style>
  <w:style w:type="paragraph" w:customStyle="1" w:styleId="NAPHAuthor">
    <w:name w:val="NAPH Author"/>
    <w:basedOn w:val="NAPHText"/>
    <w:qFormat/>
    <w:rsid w:val="00390A9B"/>
    <w:pPr>
      <w:jc w:val="center"/>
    </w:pPr>
  </w:style>
  <w:style w:type="paragraph" w:customStyle="1" w:styleId="NAPHInstitution">
    <w:name w:val="NAPH Institution"/>
    <w:basedOn w:val="NAPHAuthor"/>
    <w:next w:val="NAPHText"/>
    <w:qFormat/>
    <w:rsid w:val="00390A9B"/>
    <w:rPr>
      <w:i/>
      <w:iCs/>
      <w:sz w:val="24"/>
      <w:szCs w:val="24"/>
    </w:rPr>
  </w:style>
  <w:style w:type="character" w:customStyle="1" w:styleId="10">
    <w:name w:val="כותרת 1 תו"/>
    <w:basedOn w:val="a0"/>
    <w:link w:val="1"/>
    <w:uiPriority w:val="9"/>
    <w:rsid w:val="00390A9B"/>
    <w:rPr>
      <w:rFonts w:ascii="Times New Roman" w:hAnsi="Times New Roman" w:cs="Times New Roman"/>
      <w:b/>
      <w:smallCaps/>
      <w:sz w:val="28"/>
      <w:szCs w:val="28"/>
    </w:rPr>
  </w:style>
  <w:style w:type="character" w:customStyle="1" w:styleId="20">
    <w:name w:val="כותרת 2 תו"/>
    <w:basedOn w:val="a0"/>
    <w:link w:val="2"/>
    <w:uiPriority w:val="9"/>
    <w:rsid w:val="00333FD8"/>
    <w:rPr>
      <w:rFonts w:ascii="Times New Roman" w:hAnsi="Times New Roman" w:cs="Times New Roman"/>
      <w:b/>
      <w:bCs/>
      <w:sz w:val="28"/>
      <w:szCs w:val="28"/>
    </w:rPr>
  </w:style>
  <w:style w:type="character" w:customStyle="1" w:styleId="30">
    <w:name w:val="כותרת 3 תו"/>
    <w:basedOn w:val="a0"/>
    <w:link w:val="3"/>
    <w:uiPriority w:val="9"/>
    <w:rsid w:val="00333FD8"/>
    <w:rPr>
      <w:rFonts w:ascii="Times New Roman" w:hAnsi="Times New Roman" w:cs="Times New Roman"/>
      <w:i/>
      <w:iCs/>
      <w:sz w:val="28"/>
      <w:szCs w:val="28"/>
    </w:rPr>
  </w:style>
  <w:style w:type="paragraph" w:customStyle="1" w:styleId="Style1">
    <w:name w:val="Style1"/>
    <w:basedOn w:val="3"/>
    <w:next w:val="NAPHText"/>
    <w:qFormat/>
    <w:rsid w:val="00333FD8"/>
  </w:style>
  <w:style w:type="paragraph" w:styleId="a7">
    <w:name w:val="footnote text"/>
    <w:basedOn w:val="a"/>
    <w:link w:val="a8"/>
    <w:semiHidden/>
    <w:unhideWhenUsed/>
    <w:rsid w:val="00333FD8"/>
    <w:rPr>
      <w:sz w:val="20"/>
      <w:szCs w:val="20"/>
    </w:rPr>
  </w:style>
  <w:style w:type="character" w:customStyle="1" w:styleId="a8">
    <w:name w:val="טקסט הערת שוליים תו"/>
    <w:basedOn w:val="a0"/>
    <w:link w:val="a7"/>
    <w:uiPriority w:val="99"/>
    <w:semiHidden/>
    <w:rsid w:val="00333FD8"/>
    <w:rPr>
      <w:sz w:val="20"/>
      <w:szCs w:val="20"/>
    </w:rPr>
  </w:style>
  <w:style w:type="character" w:styleId="a9">
    <w:name w:val="footnote reference"/>
    <w:basedOn w:val="a0"/>
    <w:semiHidden/>
    <w:unhideWhenUsed/>
    <w:rsid w:val="00333FD8"/>
    <w:rPr>
      <w:vertAlign w:val="superscript"/>
    </w:rPr>
  </w:style>
  <w:style w:type="paragraph" w:customStyle="1" w:styleId="NAPHFootnote">
    <w:name w:val="NAPH Footnote"/>
    <w:basedOn w:val="a7"/>
    <w:qFormat/>
    <w:rsid w:val="0078190F"/>
    <w:pPr>
      <w:spacing w:line="220" w:lineRule="exact"/>
      <w:jc w:val="both"/>
    </w:pPr>
    <w:rPr>
      <w:rFonts w:cs="Times New Roman"/>
    </w:rPr>
  </w:style>
  <w:style w:type="paragraph" w:styleId="NormalWeb">
    <w:name w:val="Normal (Web)"/>
    <w:basedOn w:val="a"/>
    <w:rsid w:val="00343182"/>
    <w:pPr>
      <w:suppressAutoHyphens w:val="0"/>
      <w:bidi w:val="0"/>
      <w:spacing w:before="100" w:beforeAutospacing="1" w:after="100" w:afterAutospacing="1"/>
    </w:pPr>
    <w:rPr>
      <w:rFonts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ranslate.google.com/toolkit/content?did=00141sw008npk246g7i8&amp;rid=0&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3563-590D-4869-AE25-2F54468E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2931</Words>
  <Characters>14655</Characters>
  <Application>Microsoft Office Word</Application>
  <DocSecurity>0</DocSecurity>
  <Lines>122</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Painter</dc:creator>
  <cp:lastModifiedBy>win7</cp:lastModifiedBy>
  <cp:revision>2</cp:revision>
  <cp:lastPrinted>2014-10-25T02:41:00Z</cp:lastPrinted>
  <dcterms:created xsi:type="dcterms:W3CDTF">2017-11-09T03:09:00Z</dcterms:created>
  <dcterms:modified xsi:type="dcterms:W3CDTF">2017-11-09T03:09:00Z</dcterms:modified>
</cp:coreProperties>
</file>