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7EA652">
      <w:pPr>
        <w:pStyle w:val="22"/>
        <w:spacing w:before="1440"/>
        <w:jc w:val="center"/>
        <w:rPr>
          <w:rFonts w:asciiTheme="majorBidi" w:hAnsiTheme="majorBidi" w:cstheme="majorBidi"/>
          <w:sz w:val="32"/>
          <w:szCs w:val="32"/>
        </w:rPr>
      </w:pPr>
    </w:p>
    <w:p w14:paraId="6009AF54">
      <w:pPr>
        <w:spacing w:after="300"/>
        <w:jc w:val="center"/>
        <w:rPr>
          <w:rFonts w:asciiTheme="majorBidi" w:hAnsiTheme="majorBidi" w:cstheme="majorBidi"/>
          <w:b/>
          <w:bCs/>
          <w:sz w:val="36"/>
          <w:szCs w:val="36"/>
          <w:rtl/>
        </w:rPr>
      </w:pPr>
      <w:r>
        <w:rPr>
          <w:rFonts w:asciiTheme="majorBidi" w:hAnsiTheme="majorBidi" w:cstheme="majorBidi"/>
          <w:sz w:val="32"/>
          <w:szCs w:val="32"/>
        </w:rPr>
        <w:t xml:space="preserve"> </w:t>
      </w:r>
    </w:p>
    <w:p w14:paraId="3E58FB60">
      <w:pPr>
        <w:spacing w:after="300"/>
        <w:jc w:val="center"/>
        <w:rPr>
          <w:rFonts w:asciiTheme="majorBidi" w:hAnsiTheme="majorBidi" w:cstheme="majorBidi"/>
          <w:b/>
          <w:bCs/>
          <w:sz w:val="36"/>
          <w:szCs w:val="36"/>
          <w:rtl/>
        </w:rPr>
      </w:pPr>
    </w:p>
    <w:p w14:paraId="16C9FF2E">
      <w:pPr>
        <w:spacing w:after="300"/>
        <w:jc w:val="center"/>
        <w:rPr>
          <w:rFonts w:asciiTheme="majorBidi" w:hAnsiTheme="majorBidi" w:cstheme="majorBidi"/>
          <w:b/>
          <w:bCs/>
          <w:sz w:val="36"/>
          <w:szCs w:val="36"/>
        </w:rPr>
      </w:pPr>
      <w:r>
        <w:rPr>
          <w:rFonts w:asciiTheme="majorBidi" w:hAnsiTheme="majorBidi" w:cstheme="majorBidi"/>
          <w:b/>
          <w:bCs/>
          <w:sz w:val="36"/>
          <w:szCs w:val="36"/>
        </w:rPr>
        <w:t>Cyber Crisis Communication in Humanitarian Organizations: A Comparative Content Analysis of WFP and ICRC Responses to Data Breaches</w:t>
      </w:r>
    </w:p>
    <w:p w14:paraId="68F04FF4">
      <w:pPr>
        <w:spacing w:after="300"/>
        <w:jc w:val="center"/>
        <w:rPr>
          <w:rFonts w:asciiTheme="majorBidi" w:hAnsiTheme="majorBidi" w:cstheme="majorBidi"/>
          <w:b/>
          <w:bCs/>
          <w:sz w:val="36"/>
          <w:szCs w:val="36"/>
        </w:rPr>
      </w:pPr>
    </w:p>
    <w:p w14:paraId="005B9EA7">
      <w:pPr>
        <w:spacing w:before="240" w:after="480" w:line="480" w:lineRule="auto"/>
        <w:jc w:val="center"/>
        <w:rPr>
          <w:b/>
          <w:bCs/>
          <w:sz w:val="32"/>
          <w:szCs w:val="32"/>
        </w:rPr>
      </w:pPr>
      <w:r>
        <w:rPr>
          <w:b/>
          <w:bCs/>
          <w:sz w:val="32"/>
          <w:szCs w:val="32"/>
        </w:rPr>
        <w:t xml:space="preserve">Dr. Ibrahim ukka, Digital Media and communication Department, an najah national University </w:t>
      </w:r>
    </w:p>
    <w:p w14:paraId="3CCFB935">
      <w:pPr>
        <w:spacing w:before="240" w:after="480" w:line="480" w:lineRule="auto"/>
        <w:jc w:val="center"/>
        <w:rPr>
          <w:rFonts w:hint="default"/>
          <w:b/>
          <w:bCs/>
          <w:sz w:val="32"/>
          <w:szCs w:val="32"/>
          <w:lang w:val="en-US"/>
        </w:rPr>
      </w:pPr>
      <w:r>
        <w:rPr>
          <w:rFonts w:hint="default"/>
          <w:b/>
          <w:bCs/>
          <w:sz w:val="32"/>
          <w:szCs w:val="32"/>
          <w:lang w:val="en-US"/>
        </w:rPr>
        <w:t xml:space="preserve">Email: </w:t>
      </w:r>
      <w:r>
        <w:rPr>
          <w:rFonts w:hint="default"/>
          <w:b/>
          <w:bCs/>
          <w:sz w:val="32"/>
          <w:szCs w:val="32"/>
          <w:lang w:val="en-US"/>
        </w:rPr>
        <w:fldChar w:fldCharType="begin"/>
      </w:r>
      <w:r>
        <w:rPr>
          <w:rFonts w:hint="default"/>
          <w:b/>
          <w:bCs/>
          <w:sz w:val="32"/>
          <w:szCs w:val="32"/>
          <w:lang w:val="en-US"/>
        </w:rPr>
        <w:instrText xml:space="preserve"> HYPERLINK "mailto:ibrahim.okh@najah.edu" </w:instrText>
      </w:r>
      <w:r>
        <w:rPr>
          <w:rFonts w:hint="default"/>
          <w:b/>
          <w:bCs/>
          <w:sz w:val="32"/>
          <w:szCs w:val="32"/>
          <w:lang w:val="en-US"/>
        </w:rPr>
        <w:fldChar w:fldCharType="separate"/>
      </w:r>
      <w:r>
        <w:rPr>
          <w:rStyle w:val="15"/>
          <w:rFonts w:hint="default"/>
          <w:b/>
          <w:bCs/>
          <w:sz w:val="32"/>
          <w:szCs w:val="32"/>
          <w:lang w:val="en-US"/>
        </w:rPr>
        <w:t>ibrahim.okh@najah.edu</w:t>
      </w:r>
      <w:r>
        <w:rPr>
          <w:rFonts w:hint="default"/>
          <w:b/>
          <w:bCs/>
          <w:sz w:val="32"/>
          <w:szCs w:val="32"/>
          <w:lang w:val="en-US"/>
        </w:rPr>
        <w:fldChar w:fldCharType="end"/>
      </w:r>
    </w:p>
    <w:p w14:paraId="46F04CFF">
      <w:pPr>
        <w:pStyle w:val="22"/>
        <w:spacing w:before="120" w:after="60"/>
        <w:jc w:val="center"/>
        <w:rPr>
          <w:rFonts w:hint="default"/>
          <w:rtl/>
          <w:lang w:val="en-US"/>
        </w:rPr>
      </w:pPr>
      <w:r>
        <w:t>Doha Najeh mazeyed</w:t>
      </w:r>
      <w:r>
        <w:rPr>
          <w:rFonts w:hint="default"/>
          <w:lang w:val="en-US"/>
        </w:rPr>
        <w:t>, an najah national university</w:t>
      </w:r>
    </w:p>
    <w:p w14:paraId="2DA1BB17">
      <w:pPr>
        <w:pStyle w:val="22"/>
        <w:spacing w:before="120" w:after="60"/>
        <w:jc w:val="center"/>
        <w:rPr>
          <w:rFonts w:hint="default"/>
          <w:b/>
          <w:bCs/>
          <w:sz w:val="32"/>
          <w:szCs w:val="32"/>
          <w:lang w:val="en-US"/>
        </w:rPr>
      </w:pPr>
      <w:r>
        <w:t>Doha Najeh.mazyed92@gmail.com</w:t>
      </w:r>
    </w:p>
    <w:p w14:paraId="61E746C9">
      <w:pPr>
        <w:pStyle w:val="22"/>
        <w:spacing w:before="240" w:after="480" w:line="480" w:lineRule="auto"/>
        <w:jc w:val="center"/>
        <w:rPr>
          <w:rFonts w:hint="default"/>
          <w:lang w:val="en-US"/>
        </w:rPr>
      </w:pPr>
      <w:r>
        <w:t>Aya Mohammad Riyad Hawwash</w:t>
      </w:r>
      <w:r>
        <w:rPr>
          <w:rFonts w:hint="default"/>
          <w:lang w:val="en-US"/>
        </w:rPr>
        <w:t>, an najah national university</w:t>
      </w:r>
    </w:p>
    <w:p w14:paraId="4524902D">
      <w:pPr>
        <w:pStyle w:val="22"/>
        <w:spacing w:before="240" w:after="480" w:line="480" w:lineRule="auto"/>
        <w:jc w:val="center"/>
        <w:rPr>
          <w:rFonts w:hint="default"/>
          <w:lang w:val="en-US"/>
        </w:rPr>
      </w:pPr>
      <w:r>
        <w:rPr>
          <w:rFonts w:hint="default"/>
          <w:lang w:val="en-US"/>
        </w:rPr>
        <w:t>aya.mohmmed1989@gmail.com</w:t>
      </w:r>
    </w:p>
    <w:p w14:paraId="13B4EC7B">
      <w:pPr>
        <w:pStyle w:val="22"/>
        <w:spacing w:before="120" w:after="60"/>
        <w:jc w:val="center"/>
      </w:pPr>
      <w:r>
        <w:t xml:space="preserve">Febriansyah Putra Djaya Indra , Palestine Embassy in indonesia </w:t>
      </w:r>
    </w:p>
    <w:p w14:paraId="070F5E63">
      <w:pPr>
        <w:spacing w:after="300"/>
        <w:jc w:val="center"/>
        <w:rPr>
          <w:rFonts w:asciiTheme="majorBidi" w:hAnsiTheme="majorBidi" w:cstheme="majorBidi"/>
          <w:b/>
          <w:bCs/>
          <w:sz w:val="36"/>
          <w:szCs w:val="36"/>
        </w:rPr>
      </w:pPr>
      <w:bookmarkStart w:id="0" w:name="_GoBack"/>
      <w:bookmarkEnd w:id="0"/>
    </w:p>
    <w:p w14:paraId="312ECD45">
      <w:pPr>
        <w:pStyle w:val="2"/>
        <w:spacing w:before="360" w:after="160"/>
        <w:rPr>
          <w:rFonts w:asciiTheme="majorBidi" w:hAnsiTheme="majorBidi" w:cstheme="majorBidi"/>
          <w:sz w:val="40"/>
          <w:szCs w:val="40"/>
        </w:rPr>
      </w:pPr>
      <w:r>
        <w:rPr>
          <w:rFonts w:asciiTheme="majorBidi" w:hAnsiTheme="majorBidi" w:cstheme="majorBidi"/>
          <w:b/>
          <w:bCs/>
          <w:sz w:val="36"/>
          <w:szCs w:val="36"/>
        </w:rPr>
        <w:t>Abstract</w:t>
      </w:r>
    </w:p>
    <w:p w14:paraId="4E6E4FE7">
      <w:pPr>
        <w:spacing w:after="200" w:line="360" w:lineRule="auto"/>
        <w:jc w:val="both"/>
        <w:rPr>
          <w:rFonts w:asciiTheme="majorBidi" w:hAnsiTheme="majorBidi" w:cstheme="majorBidi"/>
          <w:sz w:val="32"/>
          <w:szCs w:val="32"/>
        </w:rPr>
      </w:pPr>
      <w:r>
        <w:rPr>
          <w:rFonts w:asciiTheme="majorBidi" w:hAnsiTheme="majorBidi" w:cstheme="majorBidi"/>
          <w:sz w:val="32"/>
          <w:szCs w:val="32"/>
        </w:rPr>
        <w:t>Humanitarian organizations increasingly depend on digital registration and data-management systems to deliver aid, a dependence accompanied by rising exposure to cyberattacks against conflict-affected and displaced populations. This study undertakes a qualitative comparative content analysis of the crisis communication responses of two major humanitarian actors - the International Committee of the Red Cross (ICRC), following its 2021-2022 data breach affecting more than 515,000 people, and the World Food Programme (WFP), following its 2026 breach of the Self-Registration Application for Palestine affecting approximately 600,000 Gaza households. Initial source verification indicates that both cases are independently documented and sufficiently comparable for a preliminary comparative analysis, while important differences in temporal observability remain: the ICRC corpus spans a documented communication trajectory from January to at least June 2022, while the WFP corpus, as currently assembled, spans four confirmed official communications issued between 31 May and 9 June 2026. Drawing on organizations' official communications, coded inductively across an evidence-linked scheme before engagement with Situational Crisis Communication Theory (SCCT) and Image Repair Theory (IRT), the analysis identifies a shared underlying sequence - acknowledgement, containment, corrective action, beneficiary guidance, and continuity assurance - alongside a divergence in how each organization treats the limits of its own disclosure. The ICRC corpus documents an accountability- and explanation-centered pattern in which limited disclosure is accompanied by an explicit, organization-stated protective rationale, termed here protection-bounded transparency. The WFP corpus, extended through 29 July 2026, documents comparably limited disclosure - including an internal staff directive to avoid technical explanation of the incident - without an equivalent stated rationale, a pattern termed institutional reticence and explicitly contested as unjustified by external stakeholders. The study proposes a preliminary Humanitarian Cyber Crisis Communication and Protection Framework (HCCCPF), organized around a central Protection Boundary construct requiring organizations to state, not merely enact, the rationale for any limits on disclosure. This framework is offered as an evidence-grounded but provisional contribution, pending closure of the full communication corpus for both cases.</w:t>
      </w:r>
    </w:p>
    <w:p w14:paraId="45570DF8">
      <w:pPr>
        <w:pStyle w:val="2"/>
        <w:spacing w:before="360" w:after="160"/>
        <w:rPr>
          <w:rFonts w:asciiTheme="majorBidi" w:hAnsiTheme="majorBidi" w:cstheme="majorBidi"/>
          <w:sz w:val="40"/>
          <w:szCs w:val="40"/>
        </w:rPr>
      </w:pPr>
      <w:r>
        <w:rPr>
          <w:rFonts w:asciiTheme="majorBidi" w:hAnsiTheme="majorBidi" w:cstheme="majorBidi"/>
          <w:b/>
          <w:bCs/>
          <w:sz w:val="36"/>
          <w:szCs w:val="36"/>
        </w:rPr>
        <w:t>Keywords</w:t>
      </w:r>
    </w:p>
    <w:p w14:paraId="166A87DF">
      <w:pPr>
        <w:spacing w:after="200" w:line="360" w:lineRule="auto"/>
        <w:rPr>
          <w:rFonts w:asciiTheme="majorBidi" w:hAnsiTheme="majorBidi" w:cstheme="majorBidi"/>
          <w:sz w:val="32"/>
          <w:szCs w:val="32"/>
        </w:rPr>
      </w:pPr>
      <w:r>
        <w:rPr>
          <w:rFonts w:asciiTheme="majorBidi" w:hAnsiTheme="majorBidi" w:cstheme="majorBidi"/>
          <w:sz w:val="32"/>
          <w:szCs w:val="32"/>
        </w:rPr>
        <w:t>cyber crisis communication; humanitarian organizations; data breach; Situational Crisis Communication Theory; Image Repair Theory; protection-bounded transparency; comparative content analysis</w:t>
      </w:r>
    </w:p>
    <w:p w14:paraId="2A454846">
      <w:pPr>
        <w:pStyle w:val="2"/>
        <w:spacing w:before="360" w:after="160"/>
        <w:rPr>
          <w:rFonts w:asciiTheme="majorBidi" w:hAnsiTheme="majorBidi" w:cstheme="majorBidi"/>
          <w:sz w:val="40"/>
          <w:szCs w:val="40"/>
        </w:rPr>
      </w:pPr>
      <w:r>
        <w:rPr>
          <w:rFonts w:asciiTheme="majorBidi" w:hAnsiTheme="majorBidi" w:cstheme="majorBidi"/>
          <w:b/>
          <w:bCs/>
          <w:sz w:val="36"/>
          <w:szCs w:val="36"/>
        </w:rPr>
        <w:t>1. Introduction</w:t>
      </w:r>
    </w:p>
    <w:p w14:paraId="7F243EE5">
      <w:pPr>
        <w:spacing w:after="200" w:line="360" w:lineRule="auto"/>
        <w:jc w:val="both"/>
        <w:rPr>
          <w:rFonts w:asciiTheme="majorBidi" w:hAnsiTheme="majorBidi" w:cstheme="majorBidi"/>
          <w:sz w:val="32"/>
          <w:szCs w:val="32"/>
        </w:rPr>
      </w:pPr>
      <w:r>
        <w:rPr>
          <w:rFonts w:asciiTheme="majorBidi" w:hAnsiTheme="majorBidi" w:cstheme="majorBidi"/>
          <w:sz w:val="32"/>
          <w:szCs w:val="32"/>
        </w:rPr>
        <w:t>The digitalization of humanitarian assistance has transformed how organizations identify, register, and serve affected populations, but it has simultaneously created new categories of risk. Self-registration platforms, biometric identity systems, and beneficiary databases now hold sensitive information about people often experiencing displacement, conflict, detention, family separation, or other forms of heightened vulnerability. When such systems are breached, the population whose data has been exposed is frequently the same population the organization exists to protect, and the geopolitical context in which the breach occurs can compound the risk to affected individuals.</w:t>
      </w:r>
    </w:p>
    <w:p w14:paraId="2E0C35B6">
      <w:pPr>
        <w:spacing w:after="200" w:line="360" w:lineRule="auto"/>
        <w:jc w:val="both"/>
        <w:rPr>
          <w:rFonts w:asciiTheme="majorBidi" w:hAnsiTheme="majorBidi" w:cstheme="majorBidi"/>
          <w:sz w:val="32"/>
          <w:szCs w:val="32"/>
        </w:rPr>
      </w:pPr>
      <w:r>
        <w:rPr>
          <w:rFonts w:asciiTheme="majorBidi" w:hAnsiTheme="majorBidi" w:cstheme="majorBidi"/>
          <w:sz w:val="32"/>
          <w:szCs w:val="32"/>
        </w:rPr>
        <w:t>Two cases illustrate this dynamic with unusual clarity and documentary depth. The ICRC determined on 18 January 2022 that servers holding data belonging to more than 515,000 people - connected to its Restoring Family Links program across more than 60 National Societies - had been compromised; its own subsequent analysis traced the intrusion to 9 November 2021. More than four years later, WFP confirmed that its Self-Registration Application for Palestine had been breached on 14 May 2026, exposing the names, identification numbers, phone numbers, and location data of approximately 600,000 Gaza households, with independent reporting also documenting a whistleblower warning to WFP two days before the attack. Both organizations occupy comparable positions within the international humanitarian system, and both breaches affected populations already made vulnerable by conflict and displacement.</w:t>
      </w:r>
    </w:p>
    <w:p w14:paraId="0FD6B181">
      <w:pPr>
        <w:pStyle w:val="2"/>
        <w:spacing w:before="360" w:after="160"/>
        <w:rPr>
          <w:rFonts w:asciiTheme="majorBidi" w:hAnsiTheme="majorBidi" w:cstheme="majorBidi"/>
          <w:sz w:val="40"/>
          <w:szCs w:val="40"/>
        </w:rPr>
      </w:pPr>
      <w:r>
        <w:rPr>
          <w:rFonts w:asciiTheme="majorBidi" w:hAnsiTheme="majorBidi" w:cstheme="majorBidi"/>
          <w:b/>
          <w:bCs/>
          <w:sz w:val="36"/>
          <w:szCs w:val="36"/>
        </w:rPr>
        <w:t>2. Research Problem</w:t>
      </w:r>
    </w:p>
    <w:p w14:paraId="48F7F57F">
      <w:pPr>
        <w:spacing w:after="200" w:line="360" w:lineRule="auto"/>
        <w:jc w:val="both"/>
        <w:rPr>
          <w:rFonts w:asciiTheme="majorBidi" w:hAnsiTheme="majorBidi" w:cstheme="majorBidi"/>
          <w:sz w:val="32"/>
          <w:szCs w:val="32"/>
        </w:rPr>
      </w:pPr>
      <w:r>
        <w:rPr>
          <w:rFonts w:asciiTheme="majorBidi" w:hAnsiTheme="majorBidi" w:cstheme="majorBidi"/>
          <w:sz w:val="32"/>
          <w:szCs w:val="32"/>
        </w:rPr>
        <w:t>Existing crisis communication theory - most influentially Situational Crisis Communication Theory (SCCT; Coombs, 2007) and Image Repair Theory (IRT; Benoit, 2015) - was developed primarily from, and validated against, corporate and political crises in which the organization's central communicative obligation is to its own reputation. Humanitarian organizations operate under a different mandate: their communicative obligation runs first to affected populations who may have limited alternative access to essential assistance, and whose vulnerability is precisely what a data breach threatens to compound. Whether existing frameworks adequately account for this ethical asymmetry between a humanitarian organization and the people it serves remains insufficiently examined empirically.</w:t>
      </w:r>
    </w:p>
    <w:p w14:paraId="28875035">
      <w:pPr>
        <w:pStyle w:val="2"/>
        <w:spacing w:before="360" w:after="160"/>
        <w:rPr>
          <w:rFonts w:asciiTheme="majorBidi" w:hAnsiTheme="majorBidi" w:cstheme="majorBidi"/>
          <w:sz w:val="40"/>
          <w:szCs w:val="40"/>
        </w:rPr>
      </w:pPr>
      <w:r>
        <w:rPr>
          <w:rFonts w:asciiTheme="majorBidi" w:hAnsiTheme="majorBidi" w:cstheme="majorBidi"/>
          <w:b/>
          <w:bCs/>
          <w:sz w:val="36"/>
          <w:szCs w:val="36"/>
        </w:rPr>
        <w:t>3. Research Gap</w:t>
      </w:r>
    </w:p>
    <w:p w14:paraId="5ED3B8EF">
      <w:pPr>
        <w:spacing w:after="200" w:line="360" w:lineRule="auto"/>
        <w:jc w:val="both"/>
        <w:rPr>
          <w:rFonts w:asciiTheme="majorBidi" w:hAnsiTheme="majorBidi" w:cstheme="majorBidi"/>
          <w:sz w:val="32"/>
          <w:szCs w:val="32"/>
        </w:rPr>
      </w:pPr>
      <w:r>
        <w:rPr>
          <w:rFonts w:asciiTheme="majorBidi" w:hAnsiTheme="majorBidi" w:cstheme="majorBidi"/>
          <w:sz w:val="32"/>
          <w:szCs w:val="32"/>
        </w:rPr>
        <w:t>A recent PRISMA-ScR scoping review of cybersecurity in humanitarian operations found that, while cyber threats and preparedness gaps in the sector are increasingly documented, the literature remains limited on crisis communication strategies specifically following cyber incidents in humanitarian settings (Anfuso et al., 2026). Parallel literature on corporate data-breach crisis communication - including SCCT-based comparative and computational studies (Kuipers &amp; Schonheit, 2022; Jechle et al., 2025) - offers a developed but sector-specific body of findings that has not yet been systematically tested against humanitarian cases. This study addresses four interlocking gaps: a theoretical gap (limited testing of SCCT/IRT outside commercial contexts), a contextual gap (the identified scarcity of humanitarian-sector cyber crisis communication research), an empirical gap (few studies grounded in actual organizational communication corpora rather than survey or experimental data), and a methodological gap (limited comparative document-based analysis across humanitarian organizations).</w:t>
      </w:r>
    </w:p>
    <w:p w14:paraId="05347E81">
      <w:pPr>
        <w:pStyle w:val="2"/>
        <w:spacing w:before="360" w:after="160"/>
        <w:rPr>
          <w:rFonts w:asciiTheme="majorBidi" w:hAnsiTheme="majorBidi" w:cstheme="majorBidi"/>
          <w:sz w:val="40"/>
          <w:szCs w:val="40"/>
        </w:rPr>
      </w:pPr>
      <w:r>
        <w:rPr>
          <w:rFonts w:asciiTheme="majorBidi" w:hAnsiTheme="majorBidi" w:cstheme="majorBidi"/>
          <w:b/>
          <w:bCs/>
          <w:sz w:val="36"/>
          <w:szCs w:val="36"/>
        </w:rPr>
        <w:t>4. Research Questions</w:t>
      </w:r>
    </w:p>
    <w:p w14:paraId="54CA7B5B">
      <w:pPr>
        <w:spacing w:after="200" w:line="360" w:lineRule="auto"/>
        <w:jc w:val="both"/>
        <w:rPr>
          <w:rFonts w:asciiTheme="majorBidi" w:hAnsiTheme="majorBidi" w:cstheme="majorBidi"/>
          <w:sz w:val="32"/>
          <w:szCs w:val="32"/>
        </w:rPr>
      </w:pPr>
      <w:r>
        <w:rPr>
          <w:rFonts w:asciiTheme="majorBidi" w:hAnsiTheme="majorBidi" w:cstheme="majorBidi"/>
          <w:sz w:val="32"/>
          <w:szCs w:val="32"/>
        </w:rPr>
        <w:t>Main Research Question: How do humanitarian organizations communicate with affected populations and stakeholders following a cyberattack that compromises beneficiary data, and how do these strategies compare across organizations and contexts?</w:t>
      </w:r>
    </w:p>
    <w:p w14:paraId="6EF4BEBB">
      <w:pPr>
        <w:spacing w:after="200" w:line="360" w:lineRule="auto"/>
        <w:jc w:val="both"/>
        <w:rPr>
          <w:rFonts w:asciiTheme="majorBidi" w:hAnsiTheme="majorBidi" w:cstheme="majorBidi"/>
          <w:sz w:val="32"/>
          <w:szCs w:val="32"/>
        </w:rPr>
      </w:pPr>
      <w:r>
        <w:rPr>
          <w:rFonts w:asciiTheme="majorBidi" w:hAnsiTheme="majorBidi" w:cstheme="majorBidi"/>
          <w:sz w:val="32"/>
          <w:szCs w:val="32"/>
        </w:rPr>
        <w:t>RQ1: How do the ICRC and WFP acknowledge and disclose the occurrence, scope, and nature of their respective data breaches?</w:t>
      </w:r>
    </w:p>
    <w:p w14:paraId="73B69F9E">
      <w:pPr>
        <w:spacing w:after="200" w:line="360" w:lineRule="auto"/>
        <w:jc w:val="both"/>
        <w:rPr>
          <w:rFonts w:asciiTheme="majorBidi" w:hAnsiTheme="majorBidi" w:cstheme="majorBidi"/>
          <w:sz w:val="32"/>
          <w:szCs w:val="32"/>
        </w:rPr>
      </w:pPr>
      <w:r>
        <w:rPr>
          <w:rFonts w:asciiTheme="majorBidi" w:hAnsiTheme="majorBidi" w:cstheme="majorBidi"/>
          <w:sz w:val="32"/>
          <w:szCs w:val="32"/>
        </w:rPr>
        <w:t>RQ2: Where reliable timestamps are available, how do the two organizations differ in the timing, channel selection, and consistency of breach-related communication?</w:t>
      </w:r>
    </w:p>
    <w:p w14:paraId="020BC17B">
      <w:pPr>
        <w:spacing w:after="200" w:line="360" w:lineRule="auto"/>
        <w:jc w:val="both"/>
        <w:rPr>
          <w:rFonts w:asciiTheme="majorBidi" w:hAnsiTheme="majorBidi" w:cstheme="majorBidi"/>
          <w:sz w:val="32"/>
          <w:szCs w:val="32"/>
        </w:rPr>
      </w:pPr>
      <w:r>
        <w:rPr>
          <w:rFonts w:asciiTheme="majorBidi" w:hAnsiTheme="majorBidi" w:cstheme="majorBidi"/>
          <w:sz w:val="32"/>
          <w:szCs w:val="32"/>
        </w:rPr>
        <w:t>RQ3: How do the two organizations frame responsibility, and what corrective and protective measures do they communicate to affected populations?</w:t>
      </w:r>
    </w:p>
    <w:p w14:paraId="48205545">
      <w:pPr>
        <w:spacing w:after="200" w:line="360" w:lineRule="auto"/>
        <w:jc w:val="both"/>
        <w:rPr>
          <w:rFonts w:asciiTheme="majorBidi" w:hAnsiTheme="majorBidi" w:cstheme="majorBidi"/>
          <w:sz w:val="32"/>
          <w:szCs w:val="32"/>
        </w:rPr>
      </w:pPr>
      <w:r>
        <w:rPr>
          <w:rFonts w:asciiTheme="majorBidi" w:hAnsiTheme="majorBidi" w:cstheme="majorBidi"/>
          <w:sz w:val="32"/>
          <w:szCs w:val="32"/>
        </w:rPr>
        <w:t>RQ4: To what extent do the identified communication patterns align with, extend, or challenge SCCT and Image Repair Theory when applied to a humanitarian, rather than corporate, context?</w:t>
      </w:r>
    </w:p>
    <w:p w14:paraId="5C624B9F">
      <w:pPr>
        <w:spacing w:after="200" w:line="360" w:lineRule="auto"/>
        <w:jc w:val="both"/>
        <w:rPr>
          <w:rFonts w:asciiTheme="majorBidi" w:hAnsiTheme="majorBidi" w:cstheme="majorBidi"/>
          <w:sz w:val="32"/>
          <w:szCs w:val="32"/>
        </w:rPr>
      </w:pPr>
      <w:r>
        <w:rPr>
          <w:rFonts w:asciiTheme="majorBidi" w:hAnsiTheme="majorBidi" w:cstheme="majorBidi"/>
          <w:sz w:val="32"/>
          <w:szCs w:val="32"/>
        </w:rPr>
        <w:t>Table 1 (RQ Alignment Audit) traces each research question to the specific codes, data sources, and manuscript sections that answer it, so that the correspondence between questions asked and evidence delivered is auditable rather than asserted.</w:t>
      </w:r>
    </w:p>
    <w:p w14:paraId="6C5CC1C7">
      <w:pPr>
        <w:spacing w:before="180" w:after="60"/>
      </w:pPr>
      <w:r>
        <w:rPr>
          <w:b/>
          <w:sz w:val="20"/>
        </w:rPr>
        <w:t>Table 1. Research Question Alignment Audit</w:t>
      </w:r>
    </w:p>
    <w:tbl>
      <w:tblPr>
        <w:tblStyle w:val="9"/>
        <w:tblW w:w="10100" w:type="dxa"/>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869"/>
        <w:gridCol w:w="1659"/>
        <w:gridCol w:w="1329"/>
        <w:gridCol w:w="1366"/>
        <w:gridCol w:w="1305"/>
        <w:gridCol w:w="1671"/>
      </w:tblGrid>
      <w:tr w14:paraId="474B1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shd w:val="clear" w:color="auto" w:fill="D9E2F3"/>
            <w:tcMar>
              <w:top w:w="90" w:type="dxa"/>
              <w:left w:w="90" w:type="dxa"/>
              <w:bottom w:w="90" w:type="dxa"/>
              <w:right w:w="90" w:type="dxa"/>
            </w:tcMar>
          </w:tcPr>
          <w:p w14:paraId="3114B068">
            <w:pPr>
              <w:rPr>
                <w:rFonts w:asciiTheme="majorBidi" w:hAnsiTheme="majorBidi" w:cstheme="majorBidi"/>
                <w:sz w:val="32"/>
                <w:szCs w:val="32"/>
              </w:rPr>
            </w:pPr>
            <w:r>
              <w:rPr>
                <w:rFonts w:asciiTheme="majorBidi" w:hAnsiTheme="majorBidi" w:cstheme="majorBidi"/>
                <w:b/>
                <w:bCs/>
                <w:sz w:val="22"/>
                <w:szCs w:val="22"/>
              </w:rPr>
              <w:t>RQ</w:t>
            </w:r>
          </w:p>
        </w:tc>
        <w:tc>
          <w:tcPr>
            <w:tcW w:w="1500" w:type="dxa"/>
            <w:shd w:val="clear" w:color="auto" w:fill="D9E2F3"/>
            <w:tcMar>
              <w:top w:w="90" w:type="dxa"/>
              <w:left w:w="90" w:type="dxa"/>
              <w:bottom w:w="90" w:type="dxa"/>
              <w:right w:w="90" w:type="dxa"/>
            </w:tcMar>
          </w:tcPr>
          <w:p w14:paraId="598D8AD3">
            <w:pPr>
              <w:rPr>
                <w:rFonts w:asciiTheme="majorBidi" w:hAnsiTheme="majorBidi" w:cstheme="majorBidi"/>
                <w:sz w:val="32"/>
                <w:szCs w:val="32"/>
              </w:rPr>
            </w:pPr>
            <w:r>
              <w:rPr>
                <w:rFonts w:asciiTheme="majorBidi" w:hAnsiTheme="majorBidi" w:cstheme="majorBidi"/>
                <w:b/>
                <w:bCs/>
                <w:sz w:val="22"/>
                <w:szCs w:val="22"/>
              </w:rPr>
              <w:t>Variables/codes</w:t>
            </w:r>
          </w:p>
        </w:tc>
        <w:tc>
          <w:tcPr>
            <w:tcW w:w="1900" w:type="dxa"/>
            <w:shd w:val="clear" w:color="auto" w:fill="D9E2F3"/>
            <w:tcMar>
              <w:top w:w="90" w:type="dxa"/>
              <w:left w:w="90" w:type="dxa"/>
              <w:bottom w:w="90" w:type="dxa"/>
              <w:right w:w="90" w:type="dxa"/>
            </w:tcMar>
          </w:tcPr>
          <w:p w14:paraId="6FC23CE5">
            <w:pPr>
              <w:rPr>
                <w:rFonts w:asciiTheme="majorBidi" w:hAnsiTheme="majorBidi" w:cstheme="majorBidi"/>
                <w:sz w:val="32"/>
                <w:szCs w:val="32"/>
              </w:rPr>
            </w:pPr>
            <w:r>
              <w:rPr>
                <w:rFonts w:asciiTheme="majorBidi" w:hAnsiTheme="majorBidi" w:cstheme="majorBidi"/>
                <w:b/>
                <w:bCs/>
                <w:sz w:val="22"/>
                <w:szCs w:val="22"/>
              </w:rPr>
              <w:t>Data source</w:t>
            </w:r>
          </w:p>
        </w:tc>
        <w:tc>
          <w:tcPr>
            <w:tcW w:w="1500" w:type="dxa"/>
            <w:shd w:val="clear" w:color="auto" w:fill="D9E2F3"/>
            <w:tcMar>
              <w:top w:w="90" w:type="dxa"/>
              <w:left w:w="90" w:type="dxa"/>
              <w:bottom w:w="90" w:type="dxa"/>
              <w:right w:w="90" w:type="dxa"/>
            </w:tcMar>
          </w:tcPr>
          <w:p w14:paraId="1860F94A">
            <w:pPr>
              <w:rPr>
                <w:rFonts w:asciiTheme="majorBidi" w:hAnsiTheme="majorBidi" w:cstheme="majorBidi"/>
                <w:sz w:val="32"/>
                <w:szCs w:val="32"/>
              </w:rPr>
            </w:pPr>
            <w:r>
              <w:rPr>
                <w:rFonts w:asciiTheme="majorBidi" w:hAnsiTheme="majorBidi" w:cstheme="majorBidi"/>
                <w:b/>
                <w:bCs/>
                <w:sz w:val="22"/>
                <w:szCs w:val="22"/>
              </w:rPr>
              <w:t>Results section</w:t>
            </w:r>
          </w:p>
        </w:tc>
        <w:tc>
          <w:tcPr>
            <w:tcW w:w="2000" w:type="dxa"/>
            <w:shd w:val="clear" w:color="auto" w:fill="D9E2F3"/>
            <w:tcMar>
              <w:top w:w="90" w:type="dxa"/>
              <w:left w:w="90" w:type="dxa"/>
              <w:bottom w:w="90" w:type="dxa"/>
              <w:right w:w="90" w:type="dxa"/>
            </w:tcMar>
          </w:tcPr>
          <w:p w14:paraId="2A2DBDBC">
            <w:pPr>
              <w:rPr>
                <w:rFonts w:asciiTheme="majorBidi" w:hAnsiTheme="majorBidi" w:cstheme="majorBidi"/>
                <w:sz w:val="32"/>
                <w:szCs w:val="32"/>
              </w:rPr>
            </w:pPr>
            <w:r>
              <w:rPr>
                <w:rFonts w:asciiTheme="majorBidi" w:hAnsiTheme="majorBidi" w:cstheme="majorBidi"/>
                <w:b/>
                <w:bCs/>
                <w:sz w:val="22"/>
                <w:szCs w:val="22"/>
              </w:rPr>
              <w:t>Discussion section</w:t>
            </w:r>
          </w:p>
        </w:tc>
        <w:tc>
          <w:tcPr>
            <w:tcW w:w="1600" w:type="dxa"/>
            <w:shd w:val="clear" w:color="auto" w:fill="D9E2F3"/>
            <w:tcMar>
              <w:top w:w="90" w:type="dxa"/>
              <w:left w:w="90" w:type="dxa"/>
              <w:bottom w:w="90" w:type="dxa"/>
              <w:right w:w="90" w:type="dxa"/>
            </w:tcMar>
          </w:tcPr>
          <w:p w14:paraId="74593293">
            <w:pPr>
              <w:rPr>
                <w:rFonts w:asciiTheme="majorBidi" w:hAnsiTheme="majorBidi" w:cstheme="majorBidi"/>
                <w:sz w:val="32"/>
                <w:szCs w:val="32"/>
              </w:rPr>
            </w:pPr>
            <w:r>
              <w:rPr>
                <w:rFonts w:asciiTheme="majorBidi" w:hAnsiTheme="majorBidi" w:cstheme="majorBidi"/>
                <w:b/>
                <w:bCs/>
                <w:sz w:val="22"/>
                <w:szCs w:val="22"/>
              </w:rPr>
              <w:t>Framework component</w:t>
            </w:r>
          </w:p>
        </w:tc>
      </w:tr>
      <w:tr w14:paraId="40A8B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21DA2D39">
            <w:pPr>
              <w:rPr>
                <w:rFonts w:asciiTheme="majorBidi" w:hAnsiTheme="majorBidi" w:cstheme="majorBidi"/>
                <w:sz w:val="32"/>
                <w:szCs w:val="32"/>
              </w:rPr>
            </w:pPr>
            <w:r>
              <w:rPr>
                <w:rFonts w:asciiTheme="majorBidi" w:hAnsiTheme="majorBidi" w:cstheme="majorBidi"/>
                <w:sz w:val="22"/>
                <w:szCs w:val="22"/>
              </w:rPr>
              <w:t>RQ1 - acknowledgement &amp; disclosure</w:t>
            </w:r>
          </w:p>
        </w:tc>
        <w:tc>
          <w:tcPr>
            <w:tcW w:w="1500" w:type="dxa"/>
            <w:tcMar>
              <w:top w:w="90" w:type="dxa"/>
              <w:left w:w="90" w:type="dxa"/>
              <w:bottom w:w="90" w:type="dxa"/>
              <w:right w:w="90" w:type="dxa"/>
            </w:tcMar>
          </w:tcPr>
          <w:p w14:paraId="156195D3">
            <w:pPr>
              <w:rPr>
                <w:rFonts w:asciiTheme="majorBidi" w:hAnsiTheme="majorBidi" w:cstheme="majorBidi"/>
                <w:sz w:val="32"/>
                <w:szCs w:val="32"/>
              </w:rPr>
            </w:pPr>
            <w:r>
              <w:rPr>
                <w:rFonts w:asciiTheme="majorBidi" w:hAnsiTheme="majorBidi" w:cstheme="majorBidi"/>
                <w:sz w:val="22"/>
                <w:szCs w:val="22"/>
              </w:rPr>
              <w:t>CA, ISD, TE</w:t>
            </w:r>
          </w:p>
        </w:tc>
        <w:tc>
          <w:tcPr>
            <w:tcW w:w="1900" w:type="dxa"/>
            <w:tcMar>
              <w:top w:w="90" w:type="dxa"/>
              <w:left w:w="90" w:type="dxa"/>
              <w:bottom w:w="90" w:type="dxa"/>
              <w:right w:w="90" w:type="dxa"/>
            </w:tcMar>
          </w:tcPr>
          <w:p w14:paraId="298DAAD6">
            <w:pPr>
              <w:rPr>
                <w:rFonts w:asciiTheme="majorBidi" w:hAnsiTheme="majorBidi" w:cstheme="majorBidi"/>
                <w:sz w:val="32"/>
                <w:szCs w:val="32"/>
              </w:rPr>
            </w:pPr>
            <w:r>
              <w:rPr>
                <w:rFonts w:asciiTheme="majorBidi" w:hAnsiTheme="majorBidi" w:cstheme="majorBidi"/>
                <w:sz w:val="22"/>
                <w:szCs w:val="22"/>
              </w:rPr>
              <w:t>Master Coding Matrix (Section 12.7); Evidence Corpus (Section 12.2-12.3)</w:t>
            </w:r>
          </w:p>
        </w:tc>
        <w:tc>
          <w:tcPr>
            <w:tcW w:w="1500" w:type="dxa"/>
            <w:tcMar>
              <w:top w:w="90" w:type="dxa"/>
              <w:left w:w="90" w:type="dxa"/>
              <w:bottom w:w="90" w:type="dxa"/>
              <w:right w:w="90" w:type="dxa"/>
            </w:tcMar>
          </w:tcPr>
          <w:p w14:paraId="7F76F58A">
            <w:pPr>
              <w:rPr>
                <w:rFonts w:asciiTheme="majorBidi" w:hAnsiTheme="majorBidi" w:cstheme="majorBidi"/>
                <w:sz w:val="32"/>
                <w:szCs w:val="32"/>
              </w:rPr>
            </w:pPr>
            <w:r>
              <w:rPr>
                <w:rFonts w:asciiTheme="majorBidi" w:hAnsiTheme="majorBidi" w:cstheme="majorBidi"/>
                <w:sz w:val="22"/>
                <w:szCs w:val="22"/>
              </w:rPr>
              <w:t>13.1, 13.2</w:t>
            </w:r>
          </w:p>
        </w:tc>
        <w:tc>
          <w:tcPr>
            <w:tcW w:w="2000" w:type="dxa"/>
            <w:tcMar>
              <w:top w:w="90" w:type="dxa"/>
              <w:left w:w="90" w:type="dxa"/>
              <w:bottom w:w="90" w:type="dxa"/>
              <w:right w:w="90" w:type="dxa"/>
            </w:tcMar>
          </w:tcPr>
          <w:p w14:paraId="5DDCBF34">
            <w:pPr>
              <w:rPr>
                <w:rFonts w:asciiTheme="majorBidi" w:hAnsiTheme="majorBidi" w:cstheme="majorBidi"/>
                <w:sz w:val="32"/>
                <w:szCs w:val="32"/>
              </w:rPr>
            </w:pPr>
            <w:r>
              <w:rPr>
                <w:rFonts w:asciiTheme="majorBidi" w:hAnsiTheme="majorBidi" w:cstheme="majorBidi"/>
                <w:sz w:val="22"/>
                <w:szCs w:val="22"/>
              </w:rPr>
              <w:t>14 (first two paragraphs)</w:t>
            </w:r>
          </w:p>
        </w:tc>
        <w:tc>
          <w:tcPr>
            <w:tcW w:w="1600" w:type="dxa"/>
            <w:tcMar>
              <w:top w:w="90" w:type="dxa"/>
              <w:left w:w="90" w:type="dxa"/>
              <w:bottom w:w="90" w:type="dxa"/>
              <w:right w:w="90" w:type="dxa"/>
            </w:tcMar>
          </w:tcPr>
          <w:p w14:paraId="48D5E577">
            <w:pPr>
              <w:rPr>
                <w:rFonts w:asciiTheme="majorBidi" w:hAnsiTheme="majorBidi" w:cstheme="majorBidi"/>
                <w:sz w:val="32"/>
                <w:szCs w:val="32"/>
              </w:rPr>
            </w:pPr>
            <w:r>
              <w:rPr>
                <w:rFonts w:asciiTheme="majorBidi" w:hAnsiTheme="majorBidi" w:cstheme="majorBidi"/>
                <w:sz w:val="22"/>
                <w:szCs w:val="22"/>
              </w:rPr>
              <w:t>Phase 2 (Initial Communication)</w:t>
            </w:r>
          </w:p>
        </w:tc>
      </w:tr>
      <w:tr w14:paraId="7E83F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4E74D6D9">
            <w:pPr>
              <w:rPr>
                <w:rFonts w:asciiTheme="majorBidi" w:hAnsiTheme="majorBidi" w:cstheme="majorBidi"/>
                <w:sz w:val="32"/>
                <w:szCs w:val="32"/>
              </w:rPr>
            </w:pPr>
            <w:r>
              <w:rPr>
                <w:rFonts w:asciiTheme="majorBidi" w:hAnsiTheme="majorBidi" w:cstheme="majorBidi"/>
                <w:sz w:val="22"/>
                <w:szCs w:val="22"/>
              </w:rPr>
              <w:t>RQ2 - timing, channel, consistency</w:t>
            </w:r>
          </w:p>
        </w:tc>
        <w:tc>
          <w:tcPr>
            <w:tcW w:w="1500" w:type="dxa"/>
            <w:tcMar>
              <w:top w:w="90" w:type="dxa"/>
              <w:left w:w="90" w:type="dxa"/>
              <w:bottom w:w="90" w:type="dxa"/>
              <w:right w:w="90" w:type="dxa"/>
            </w:tcMar>
          </w:tcPr>
          <w:p w14:paraId="77F2C215">
            <w:pPr>
              <w:rPr>
                <w:rFonts w:asciiTheme="majorBidi" w:hAnsiTheme="majorBidi" w:cstheme="majorBidi"/>
                <w:sz w:val="32"/>
                <w:szCs w:val="32"/>
              </w:rPr>
            </w:pPr>
            <w:r>
              <w:rPr>
                <w:rFonts w:asciiTheme="majorBidi" w:hAnsiTheme="majorBidi" w:cstheme="majorBidi"/>
                <w:sz w:val="22"/>
                <w:szCs w:val="22"/>
              </w:rPr>
              <w:t>Documented response interval; Communication channels; timeline dates</w:t>
            </w:r>
          </w:p>
        </w:tc>
        <w:tc>
          <w:tcPr>
            <w:tcW w:w="1900" w:type="dxa"/>
            <w:tcMar>
              <w:top w:w="90" w:type="dxa"/>
              <w:left w:w="90" w:type="dxa"/>
              <w:bottom w:w="90" w:type="dxa"/>
              <w:right w:w="90" w:type="dxa"/>
            </w:tcMar>
          </w:tcPr>
          <w:p w14:paraId="7B206899">
            <w:pPr>
              <w:rPr>
                <w:rFonts w:asciiTheme="majorBidi" w:hAnsiTheme="majorBidi" w:cstheme="majorBidi"/>
                <w:sz w:val="32"/>
                <w:szCs w:val="32"/>
              </w:rPr>
            </w:pPr>
            <w:r>
              <w:rPr>
                <w:rFonts w:asciiTheme="majorBidi" w:hAnsiTheme="majorBidi" w:cstheme="majorBidi"/>
                <w:sz w:val="22"/>
                <w:szCs w:val="22"/>
              </w:rPr>
              <w:t>Verified Comparative Timeline (Section 11); Master Corpus Table</w:t>
            </w:r>
          </w:p>
        </w:tc>
        <w:tc>
          <w:tcPr>
            <w:tcW w:w="1500" w:type="dxa"/>
            <w:tcMar>
              <w:top w:w="90" w:type="dxa"/>
              <w:left w:w="90" w:type="dxa"/>
              <w:bottom w:w="90" w:type="dxa"/>
              <w:right w:w="90" w:type="dxa"/>
            </w:tcMar>
          </w:tcPr>
          <w:p w14:paraId="23B5C06B">
            <w:pPr>
              <w:rPr>
                <w:rFonts w:asciiTheme="majorBidi" w:hAnsiTheme="majorBidi" w:cstheme="majorBidi"/>
                <w:sz w:val="32"/>
                <w:szCs w:val="32"/>
              </w:rPr>
            </w:pPr>
            <w:r>
              <w:rPr>
                <w:rFonts w:asciiTheme="majorBidi" w:hAnsiTheme="majorBidi" w:cstheme="majorBidi"/>
                <w:sz w:val="22"/>
                <w:szCs w:val="22"/>
              </w:rPr>
              <w:t>13.1-13.3; Figure 2</w:t>
            </w:r>
          </w:p>
        </w:tc>
        <w:tc>
          <w:tcPr>
            <w:tcW w:w="2000" w:type="dxa"/>
            <w:tcMar>
              <w:top w:w="90" w:type="dxa"/>
              <w:left w:w="90" w:type="dxa"/>
              <w:bottom w:w="90" w:type="dxa"/>
              <w:right w:w="90" w:type="dxa"/>
            </w:tcMar>
          </w:tcPr>
          <w:p w14:paraId="3B315A29">
            <w:pPr>
              <w:rPr>
                <w:rFonts w:asciiTheme="majorBidi" w:hAnsiTheme="majorBidi" w:cstheme="majorBidi"/>
                <w:sz w:val="32"/>
                <w:szCs w:val="32"/>
              </w:rPr>
            </w:pPr>
            <w:r>
              <w:rPr>
                <w:rFonts w:asciiTheme="majorBidi" w:hAnsiTheme="majorBidi" w:cstheme="majorBidi"/>
                <w:sz w:val="22"/>
                <w:szCs w:val="22"/>
              </w:rPr>
              <w:t>14 (institutional reticence discussion)</w:t>
            </w:r>
          </w:p>
        </w:tc>
        <w:tc>
          <w:tcPr>
            <w:tcW w:w="1600" w:type="dxa"/>
            <w:tcMar>
              <w:top w:w="90" w:type="dxa"/>
              <w:left w:w="90" w:type="dxa"/>
              <w:bottom w:w="90" w:type="dxa"/>
              <w:right w:w="90" w:type="dxa"/>
            </w:tcMar>
          </w:tcPr>
          <w:p w14:paraId="3151AC34">
            <w:pPr>
              <w:rPr>
                <w:rFonts w:asciiTheme="majorBidi" w:hAnsiTheme="majorBidi" w:cstheme="majorBidi"/>
                <w:sz w:val="32"/>
                <w:szCs w:val="32"/>
              </w:rPr>
            </w:pPr>
            <w:r>
              <w:rPr>
                <w:rFonts w:asciiTheme="majorBidi" w:hAnsiTheme="majorBidi" w:cstheme="majorBidi"/>
                <w:sz w:val="22"/>
                <w:szCs w:val="22"/>
              </w:rPr>
              <w:t>Phase 1 (Detection &amp; Verification)</w:t>
            </w:r>
          </w:p>
        </w:tc>
      </w:tr>
      <w:tr w14:paraId="1B7D8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2E6134BA">
            <w:pPr>
              <w:rPr>
                <w:rFonts w:asciiTheme="majorBidi" w:hAnsiTheme="majorBidi" w:cstheme="majorBidi"/>
                <w:sz w:val="32"/>
                <w:szCs w:val="32"/>
              </w:rPr>
            </w:pPr>
            <w:r>
              <w:rPr>
                <w:rFonts w:asciiTheme="majorBidi" w:hAnsiTheme="majorBidi" w:cstheme="majorBidi"/>
                <w:sz w:val="22"/>
                <w:szCs w:val="22"/>
              </w:rPr>
              <w:t>RQ3 - responsibility framing, corrective/protective measures</w:t>
            </w:r>
          </w:p>
        </w:tc>
        <w:tc>
          <w:tcPr>
            <w:tcW w:w="1500" w:type="dxa"/>
            <w:tcMar>
              <w:top w:w="90" w:type="dxa"/>
              <w:left w:w="90" w:type="dxa"/>
              <w:bottom w:w="90" w:type="dxa"/>
              <w:right w:w="90" w:type="dxa"/>
            </w:tcMar>
          </w:tcPr>
          <w:p w14:paraId="4F0C8287">
            <w:pPr>
              <w:rPr>
                <w:rFonts w:asciiTheme="majorBidi" w:hAnsiTheme="majorBidi" w:cstheme="majorBidi"/>
                <w:sz w:val="32"/>
                <w:szCs w:val="32"/>
              </w:rPr>
            </w:pPr>
            <w:r>
              <w:rPr>
                <w:rFonts w:asciiTheme="majorBidi" w:hAnsiTheme="majorBidi" w:cstheme="majorBidi"/>
                <w:sz w:val="22"/>
                <w:szCs w:val="22"/>
              </w:rPr>
              <w:t>RAF, CoA, BPG, PBR</w:t>
            </w:r>
          </w:p>
        </w:tc>
        <w:tc>
          <w:tcPr>
            <w:tcW w:w="1900" w:type="dxa"/>
            <w:tcMar>
              <w:top w:w="90" w:type="dxa"/>
              <w:left w:w="90" w:type="dxa"/>
              <w:bottom w:w="90" w:type="dxa"/>
              <w:right w:w="90" w:type="dxa"/>
            </w:tcMar>
          </w:tcPr>
          <w:p w14:paraId="47DA5563">
            <w:pPr>
              <w:rPr>
                <w:rFonts w:asciiTheme="majorBidi" w:hAnsiTheme="majorBidi" w:cstheme="majorBidi"/>
                <w:sz w:val="32"/>
                <w:szCs w:val="32"/>
              </w:rPr>
            </w:pPr>
            <w:r>
              <w:rPr>
                <w:rFonts w:asciiTheme="majorBidi" w:hAnsiTheme="majorBidi" w:cstheme="majorBidi"/>
                <w:sz w:val="22"/>
                <w:szCs w:val="22"/>
              </w:rPr>
              <w:t>Master Coding Matrix; ICRC/WFP Evidence Tables</w:t>
            </w:r>
          </w:p>
        </w:tc>
        <w:tc>
          <w:tcPr>
            <w:tcW w:w="1500" w:type="dxa"/>
            <w:tcMar>
              <w:top w:w="90" w:type="dxa"/>
              <w:left w:w="90" w:type="dxa"/>
              <w:bottom w:w="90" w:type="dxa"/>
              <w:right w:w="90" w:type="dxa"/>
            </w:tcMar>
          </w:tcPr>
          <w:p w14:paraId="0FBD7DF0">
            <w:pPr>
              <w:rPr>
                <w:rFonts w:asciiTheme="majorBidi" w:hAnsiTheme="majorBidi" w:cstheme="majorBidi"/>
                <w:sz w:val="32"/>
                <w:szCs w:val="32"/>
              </w:rPr>
            </w:pPr>
            <w:r>
              <w:rPr>
                <w:rFonts w:asciiTheme="majorBidi" w:hAnsiTheme="majorBidi" w:cstheme="majorBidi"/>
                <w:sz w:val="22"/>
                <w:szCs w:val="22"/>
              </w:rPr>
              <w:t>13.1-13.3; Figure 1</w:t>
            </w:r>
          </w:p>
        </w:tc>
        <w:tc>
          <w:tcPr>
            <w:tcW w:w="2000" w:type="dxa"/>
            <w:tcMar>
              <w:top w:w="90" w:type="dxa"/>
              <w:left w:w="90" w:type="dxa"/>
              <w:bottom w:w="90" w:type="dxa"/>
              <w:right w:w="90" w:type="dxa"/>
            </w:tcMar>
          </w:tcPr>
          <w:p w14:paraId="082AD44A">
            <w:pPr>
              <w:rPr>
                <w:rFonts w:asciiTheme="majorBidi" w:hAnsiTheme="majorBidi" w:cstheme="majorBidi"/>
                <w:sz w:val="32"/>
                <w:szCs w:val="32"/>
              </w:rPr>
            </w:pPr>
            <w:r>
              <w:rPr>
                <w:rFonts w:asciiTheme="majorBidi" w:hAnsiTheme="majorBidi" w:cstheme="majorBidi"/>
                <w:sz w:val="22"/>
                <w:szCs w:val="22"/>
              </w:rPr>
              <w:t>14 (protection-bounded transparency vs. institutional reticence)</w:t>
            </w:r>
          </w:p>
        </w:tc>
        <w:tc>
          <w:tcPr>
            <w:tcW w:w="1600" w:type="dxa"/>
            <w:tcMar>
              <w:top w:w="90" w:type="dxa"/>
              <w:left w:w="90" w:type="dxa"/>
              <w:bottom w:w="90" w:type="dxa"/>
              <w:right w:w="90" w:type="dxa"/>
            </w:tcMar>
          </w:tcPr>
          <w:p w14:paraId="1C7CF59E">
            <w:pPr>
              <w:rPr>
                <w:rFonts w:asciiTheme="majorBidi" w:hAnsiTheme="majorBidi" w:cstheme="majorBidi"/>
                <w:sz w:val="32"/>
                <w:szCs w:val="32"/>
              </w:rPr>
            </w:pPr>
            <w:r>
              <w:rPr>
                <w:rFonts w:asciiTheme="majorBidi" w:hAnsiTheme="majorBidi" w:cstheme="majorBidi"/>
                <w:sz w:val="22"/>
                <w:szCs w:val="22"/>
              </w:rPr>
              <w:t>Phase 3 (Accountability &amp; Protection Boundary)</w:t>
            </w:r>
          </w:p>
        </w:tc>
      </w:tr>
      <w:tr w14:paraId="0E867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170F902B">
            <w:pPr>
              <w:rPr>
                <w:rFonts w:asciiTheme="majorBidi" w:hAnsiTheme="majorBidi" w:cstheme="majorBidi"/>
                <w:sz w:val="32"/>
                <w:szCs w:val="32"/>
              </w:rPr>
            </w:pPr>
            <w:r>
              <w:rPr>
                <w:rFonts w:asciiTheme="majorBidi" w:hAnsiTheme="majorBidi" w:cstheme="majorBidi"/>
                <w:sz w:val="22"/>
                <w:szCs w:val="22"/>
              </w:rPr>
              <w:t>RQ4 - alignment/extension/challenge to SCCT and IRT</w:t>
            </w:r>
          </w:p>
        </w:tc>
        <w:tc>
          <w:tcPr>
            <w:tcW w:w="1500" w:type="dxa"/>
            <w:tcMar>
              <w:top w:w="90" w:type="dxa"/>
              <w:left w:w="90" w:type="dxa"/>
              <w:bottom w:w="90" w:type="dxa"/>
              <w:right w:w="90" w:type="dxa"/>
            </w:tcMar>
          </w:tcPr>
          <w:p w14:paraId="5FC8B2BF">
            <w:pPr>
              <w:rPr>
                <w:rFonts w:asciiTheme="majorBidi" w:hAnsiTheme="majorBidi" w:cstheme="majorBidi"/>
                <w:sz w:val="32"/>
                <w:szCs w:val="32"/>
              </w:rPr>
            </w:pPr>
            <w:r>
              <w:rPr>
                <w:rFonts w:asciiTheme="majorBidi" w:hAnsiTheme="majorBidi" w:cstheme="majorBidi"/>
                <w:sz w:val="22"/>
                <w:szCs w:val="22"/>
              </w:rPr>
              <w:t>All codes, interpreted theoretically</w:t>
            </w:r>
          </w:p>
        </w:tc>
        <w:tc>
          <w:tcPr>
            <w:tcW w:w="1900" w:type="dxa"/>
            <w:tcMar>
              <w:top w:w="90" w:type="dxa"/>
              <w:left w:w="90" w:type="dxa"/>
              <w:bottom w:w="90" w:type="dxa"/>
              <w:right w:w="90" w:type="dxa"/>
            </w:tcMar>
          </w:tcPr>
          <w:p w14:paraId="07C47BDF">
            <w:pPr>
              <w:rPr>
                <w:rFonts w:asciiTheme="majorBidi" w:hAnsiTheme="majorBidi" w:cstheme="majorBidi"/>
                <w:sz w:val="32"/>
                <w:szCs w:val="32"/>
              </w:rPr>
            </w:pPr>
            <w:r>
              <w:rPr>
                <w:rFonts w:asciiTheme="majorBidi" w:hAnsiTheme="majorBidi" w:cstheme="majorBidi"/>
                <w:sz w:val="22"/>
                <w:szCs w:val="22"/>
              </w:rPr>
              <w:t>Section 8 (Theoretical Framework); Section 7.1 synthesis; Theoretical Construct Synthesis Table 3 (this section)</w:t>
            </w:r>
          </w:p>
        </w:tc>
        <w:tc>
          <w:tcPr>
            <w:tcW w:w="1500" w:type="dxa"/>
            <w:tcMar>
              <w:top w:w="90" w:type="dxa"/>
              <w:left w:w="90" w:type="dxa"/>
              <w:bottom w:w="90" w:type="dxa"/>
              <w:right w:w="90" w:type="dxa"/>
            </w:tcMar>
          </w:tcPr>
          <w:p w14:paraId="49CEF2CC">
            <w:pPr>
              <w:rPr>
                <w:rFonts w:asciiTheme="majorBidi" w:hAnsiTheme="majorBidi" w:cstheme="majorBidi"/>
                <w:sz w:val="32"/>
                <w:szCs w:val="32"/>
              </w:rPr>
            </w:pPr>
            <w:r>
              <w:rPr>
                <w:rFonts w:asciiTheme="majorBidi" w:hAnsiTheme="majorBidi" w:cstheme="majorBidi"/>
                <w:sz w:val="22"/>
                <w:szCs w:val="22"/>
              </w:rPr>
              <w:t>N/A - RQ4 is answered in Discussion, not Results, consistent with the qualitative design's separation of description from interpretation</w:t>
            </w:r>
          </w:p>
        </w:tc>
        <w:tc>
          <w:tcPr>
            <w:tcW w:w="2000" w:type="dxa"/>
            <w:tcMar>
              <w:top w:w="90" w:type="dxa"/>
              <w:left w:w="90" w:type="dxa"/>
              <w:bottom w:w="90" w:type="dxa"/>
              <w:right w:w="90" w:type="dxa"/>
            </w:tcMar>
          </w:tcPr>
          <w:p w14:paraId="7F491B12">
            <w:pPr>
              <w:rPr>
                <w:rFonts w:asciiTheme="majorBidi" w:hAnsiTheme="majorBidi" w:cstheme="majorBidi"/>
                <w:sz w:val="32"/>
                <w:szCs w:val="32"/>
              </w:rPr>
            </w:pPr>
            <w:r>
              <w:rPr>
                <w:rFonts w:asciiTheme="majorBidi" w:hAnsiTheme="majorBidi" w:cstheme="majorBidi"/>
                <w:sz w:val="22"/>
                <w:szCs w:val="22"/>
              </w:rPr>
              <w:t>14 (entire section)</w:t>
            </w:r>
          </w:p>
        </w:tc>
        <w:tc>
          <w:tcPr>
            <w:tcW w:w="1600" w:type="dxa"/>
            <w:tcMar>
              <w:top w:w="90" w:type="dxa"/>
              <w:left w:w="90" w:type="dxa"/>
              <w:bottom w:w="90" w:type="dxa"/>
              <w:right w:w="90" w:type="dxa"/>
            </w:tcMar>
          </w:tcPr>
          <w:p w14:paraId="0481E6E3">
            <w:pPr>
              <w:rPr>
                <w:rFonts w:asciiTheme="majorBidi" w:hAnsiTheme="majorBidi" w:cstheme="majorBidi"/>
                <w:sz w:val="32"/>
                <w:szCs w:val="32"/>
              </w:rPr>
            </w:pPr>
            <w:r>
              <w:rPr>
                <w:rFonts w:asciiTheme="majorBidi" w:hAnsiTheme="majorBidi" w:cstheme="majorBidi"/>
                <w:sz w:val="22"/>
                <w:szCs w:val="22"/>
              </w:rPr>
              <w:t>Phases 3-4; overall HCCCPF rationale (Section 15)</w:t>
            </w:r>
          </w:p>
        </w:tc>
      </w:tr>
    </w:tbl>
    <w:p w14:paraId="0DEF63C7">
      <w:pPr>
        <w:spacing w:before="60" w:after="180"/>
      </w:pPr>
      <w:r>
        <w:rPr>
          <w:i/>
          <w:sz w:val="18"/>
        </w:rPr>
        <w:t>Source: Author's own analysis, tracing each research question to its coding categories, data source, and manuscript section (Sections 4, 12-15).</w:t>
      </w:r>
    </w:p>
    <w:p w14:paraId="7CA06D45">
      <w:pPr>
        <w:spacing w:after="200" w:line="360" w:lineRule="auto"/>
        <w:jc w:val="both"/>
        <w:rPr>
          <w:rFonts w:asciiTheme="majorBidi" w:hAnsiTheme="majorBidi" w:cstheme="majorBidi"/>
          <w:sz w:val="32"/>
          <w:szCs w:val="32"/>
        </w:rPr>
      </w:pPr>
      <w:r>
        <w:rPr>
          <w:rFonts w:asciiTheme="majorBidi" w:hAnsiTheme="majorBidi" w:cstheme="majorBidi"/>
          <w:sz w:val="32"/>
          <w:szCs w:val="32"/>
        </w:rPr>
        <w:t xml:space="preserve"> </w:t>
      </w:r>
    </w:p>
    <w:p w14:paraId="03760E39">
      <w:pPr>
        <w:pStyle w:val="2"/>
        <w:spacing w:before="360" w:after="160"/>
        <w:rPr>
          <w:rFonts w:asciiTheme="majorBidi" w:hAnsiTheme="majorBidi" w:cstheme="majorBidi"/>
          <w:sz w:val="40"/>
          <w:szCs w:val="40"/>
        </w:rPr>
      </w:pPr>
      <w:r>
        <w:rPr>
          <w:rFonts w:asciiTheme="majorBidi" w:hAnsiTheme="majorBidi" w:cstheme="majorBidi"/>
          <w:b/>
          <w:bCs/>
          <w:sz w:val="36"/>
          <w:szCs w:val="36"/>
        </w:rPr>
        <w:t>5. Objectives</w:t>
      </w:r>
    </w:p>
    <w:p w14:paraId="3F414545">
      <w:pPr>
        <w:spacing w:after="200" w:line="360" w:lineRule="auto"/>
        <w:jc w:val="both"/>
        <w:rPr>
          <w:rFonts w:asciiTheme="majorBidi" w:hAnsiTheme="majorBidi" w:cstheme="majorBidi"/>
          <w:sz w:val="32"/>
          <w:szCs w:val="32"/>
        </w:rPr>
      </w:pPr>
      <w:r>
        <w:rPr>
          <w:rFonts w:asciiTheme="majorBidi" w:hAnsiTheme="majorBidi" w:cstheme="majorBidi"/>
          <w:sz w:val="32"/>
          <w:szCs w:val="32"/>
        </w:rPr>
        <w:t>1. To conduct a systematic, evidence-linked comparative content analysis of the ICRC (2021-2022) and WFP (2026) crisis communications following their respective data breaches.</w:t>
      </w:r>
    </w:p>
    <w:p w14:paraId="5436B254">
      <w:pPr>
        <w:spacing w:after="200" w:line="360" w:lineRule="auto"/>
        <w:jc w:val="both"/>
        <w:rPr>
          <w:rFonts w:asciiTheme="majorBidi" w:hAnsiTheme="majorBidi" w:cstheme="majorBidi"/>
          <w:sz w:val="32"/>
          <w:szCs w:val="32"/>
        </w:rPr>
      </w:pPr>
      <w:r>
        <w:rPr>
          <w:rFonts w:asciiTheme="majorBidi" w:hAnsiTheme="majorBidi" w:cstheme="majorBidi"/>
          <w:sz w:val="32"/>
          <w:szCs w:val="32"/>
        </w:rPr>
        <w:t>2. To identify inductively emergent themes in humanitarian cyber crisis communication before evaluating them against SCCT and IRT.</w:t>
      </w:r>
    </w:p>
    <w:p w14:paraId="1F5251CD">
      <w:pPr>
        <w:spacing w:after="200" w:line="360" w:lineRule="auto"/>
        <w:jc w:val="both"/>
        <w:rPr>
          <w:rFonts w:asciiTheme="majorBidi" w:hAnsiTheme="majorBidi" w:cstheme="majorBidi"/>
          <w:sz w:val="32"/>
          <w:szCs w:val="32"/>
        </w:rPr>
      </w:pPr>
      <w:r>
        <w:rPr>
          <w:rFonts w:asciiTheme="majorBidi" w:hAnsiTheme="majorBidi" w:cstheme="majorBidi"/>
          <w:sz w:val="32"/>
          <w:szCs w:val="32"/>
        </w:rPr>
        <w:t>3. To critically assess the explanatory adequacy of SCCT and IRT in a humanitarian, beneficiary-facing context.</w:t>
      </w:r>
    </w:p>
    <w:p w14:paraId="68C2FC08">
      <w:pPr>
        <w:spacing w:after="200" w:line="360" w:lineRule="auto"/>
        <w:jc w:val="both"/>
        <w:rPr>
          <w:rFonts w:asciiTheme="majorBidi" w:hAnsiTheme="majorBidi" w:cstheme="majorBidi"/>
          <w:sz w:val="32"/>
          <w:szCs w:val="32"/>
        </w:rPr>
      </w:pPr>
      <w:r>
        <w:rPr>
          <w:rFonts w:asciiTheme="majorBidi" w:hAnsiTheme="majorBidi" w:cstheme="majorBidi"/>
          <w:sz w:val="32"/>
          <w:szCs w:val="32"/>
        </w:rPr>
        <w:t>4. To develop and theoretically justify a preliminary, evidence-derived Humanitarian Cyber Crisis Communication and Protection Framework (HCCCPF).</w:t>
      </w:r>
    </w:p>
    <w:p w14:paraId="285624E0">
      <w:pPr>
        <w:spacing w:after="200" w:line="360" w:lineRule="auto"/>
        <w:jc w:val="both"/>
        <w:rPr>
          <w:rFonts w:asciiTheme="majorBidi" w:hAnsiTheme="majorBidi" w:cstheme="majorBidi"/>
          <w:sz w:val="32"/>
          <w:szCs w:val="32"/>
        </w:rPr>
      </w:pPr>
      <w:r>
        <w:rPr>
          <w:rFonts w:asciiTheme="majorBidi" w:hAnsiTheme="majorBidi" w:cstheme="majorBidi"/>
          <w:sz w:val="32"/>
          <w:szCs w:val="32"/>
        </w:rPr>
        <w:t>5. To generate practical, finding-linked recommendations for humanitarian organizations managing cyber crisis communication under conditions of population vulnerability.</w:t>
      </w:r>
    </w:p>
    <w:p w14:paraId="3456FDEE">
      <w:pPr>
        <w:pStyle w:val="2"/>
        <w:spacing w:before="360" w:after="160"/>
        <w:rPr>
          <w:rFonts w:asciiTheme="majorBidi" w:hAnsiTheme="majorBidi" w:cstheme="majorBidi"/>
          <w:sz w:val="40"/>
          <w:szCs w:val="40"/>
        </w:rPr>
      </w:pPr>
      <w:r>
        <w:rPr>
          <w:rFonts w:asciiTheme="majorBidi" w:hAnsiTheme="majorBidi" w:cstheme="majorBidi"/>
          <w:b/>
          <w:bCs/>
          <w:sz w:val="36"/>
          <w:szCs w:val="36"/>
        </w:rPr>
        <w:t>6. Significance of the Study</w:t>
      </w:r>
    </w:p>
    <w:p w14:paraId="4444CC61">
      <w:pPr>
        <w:spacing w:after="200" w:line="360" w:lineRule="auto"/>
        <w:jc w:val="both"/>
        <w:rPr>
          <w:rFonts w:asciiTheme="majorBidi" w:hAnsiTheme="majorBidi" w:cstheme="majorBidi"/>
          <w:sz w:val="32"/>
          <w:szCs w:val="32"/>
        </w:rPr>
      </w:pPr>
      <w:r>
        <w:rPr>
          <w:rFonts w:asciiTheme="majorBidi" w:hAnsiTheme="majorBidi" w:cstheme="majorBidi"/>
          <w:sz w:val="32"/>
          <w:szCs w:val="32"/>
        </w:rPr>
        <w:t>Theoretically, the study contributes an empirically grounded test of two dominant crisis communication frameworks in an under-researched organizational context, addressing a gap identified in recent humanitarian cybersecurity literature (Anfuso et al., 2026). Practically, the findings are intended to be usable by humanitarian communication and data-protection officers designing breach-response protocols. The study's humanitarian significance lies in foregrounding a population - conflict-displaced, aid-dependent individuals - whose data-protection needs are rarely centered in crisis communication scholarship, which has predominantly examined corporate and reputational outcomes.</w:t>
      </w:r>
    </w:p>
    <w:p w14:paraId="3B335D2F">
      <w:pPr>
        <w:pStyle w:val="2"/>
        <w:spacing w:before="360" w:after="160"/>
        <w:rPr>
          <w:rFonts w:asciiTheme="majorBidi" w:hAnsiTheme="majorBidi" w:cstheme="majorBidi"/>
          <w:sz w:val="40"/>
          <w:szCs w:val="40"/>
        </w:rPr>
      </w:pPr>
      <w:r>
        <w:rPr>
          <w:rFonts w:asciiTheme="majorBidi" w:hAnsiTheme="majorBidi" w:cstheme="majorBidi"/>
          <w:b/>
          <w:bCs/>
          <w:sz w:val="36"/>
          <w:szCs w:val="36"/>
        </w:rPr>
        <w:t>7. Literature Review</w:t>
      </w:r>
    </w:p>
    <w:p w14:paraId="3B066B9D">
      <w:pPr>
        <w:pStyle w:val="3"/>
        <w:spacing w:before="260" w:after="140"/>
        <w:rPr>
          <w:rFonts w:asciiTheme="majorBidi" w:hAnsiTheme="majorBidi" w:cstheme="majorBidi"/>
          <w:sz w:val="32"/>
          <w:szCs w:val="32"/>
        </w:rPr>
      </w:pPr>
      <w:r>
        <w:rPr>
          <w:rFonts w:asciiTheme="majorBidi" w:hAnsiTheme="majorBidi" w:cstheme="majorBidi"/>
          <w:b/>
          <w:bCs/>
          <w:sz w:val="32"/>
          <w:szCs w:val="32"/>
        </w:rPr>
        <w:t>7.1 Narrative Synthesis</w:t>
      </w:r>
    </w:p>
    <w:p w14:paraId="7A15F73C">
      <w:pPr>
        <w:spacing w:after="200" w:line="360" w:lineRule="auto"/>
        <w:jc w:val="both"/>
        <w:rPr>
          <w:rFonts w:asciiTheme="majorBidi" w:hAnsiTheme="majorBidi" w:cstheme="majorBidi"/>
          <w:sz w:val="32"/>
          <w:szCs w:val="32"/>
        </w:rPr>
      </w:pPr>
      <w:r>
        <w:rPr>
          <w:rFonts w:asciiTheme="majorBidi" w:hAnsiTheme="majorBidi" w:cstheme="majorBidi"/>
          <w:sz w:val="32"/>
          <w:szCs w:val="32"/>
        </w:rPr>
        <w:t>Crisis communication scholarship examines how organizations manage reputational and operational threat under uncertainty. Coombs (2007) frames crisis response as centrally about managing attributions of responsibility. Corporate data-breach research applying SCCT finds that organizations relying on a single, consistent strategy outperform those blending inconsistent strategies, with denial consistently the most damaging approach (Kuipers &amp; Schonheit, 2022); computational extensions of SCCT to large breach-disclosure corpora find that firms frequently combine compensation and victimage framing with apology and justification (Jechle et al., 2025). A qualitative study of Finnish data-breach cases similarly finds that early communication, responsibility acceptance, apology, and authority notification distinguish successful from unsuccessful responses (Ruohonen et al., 2024), while sector-specific work on health-service providers documents apology and compensation as recurring post-breach strategies (Masuch et al., 2021). A recent systematic review synthesizes antecedents and consequences of data breaches across the information-systems literature more broadly (Schlackl et al., 2022). Meta-analytic work confirms that attributed responsibility significantly shapes reputational outcomes across SCCT studies (Avery &amp; Park, 2016).</w:t>
      </w:r>
    </w:p>
    <w:p w14:paraId="6F2F5E63">
      <w:pPr>
        <w:spacing w:after="200" w:line="360" w:lineRule="auto"/>
        <w:jc w:val="both"/>
        <w:rPr>
          <w:rFonts w:asciiTheme="majorBidi" w:hAnsiTheme="majorBidi" w:cstheme="majorBidi"/>
          <w:sz w:val="32"/>
          <w:szCs w:val="32"/>
        </w:rPr>
      </w:pPr>
      <w:r>
        <w:rPr>
          <w:rFonts w:asciiTheme="majorBidi" w:hAnsiTheme="majorBidi" w:cstheme="majorBidi"/>
          <w:sz w:val="32"/>
          <w:szCs w:val="32"/>
        </w:rPr>
        <w:t>Directly relevant to this study, Choi, Robinson, Ruddle and Fister (2025) explicitly analyze the 2022 ICRC data breach as an illustrative case within a comparative government/nonprofit/for-profit framework, finding that 'rebuild' strategies - responsibility acceptance, apology, and corrective action - are associated with stronger trust restoration across sectors, including humanitarian organizations; this is the closest peer-reviewed treatment of the ICRC case identified, though it does not conduct document-level comparative analysis or examine WFP. Systematic-review work on trust repair in health crises identifies recurring public-trust-repair mechanisms that parallel several categories in this study's codebook (Liu &amp; Duarte, 2023).</w:t>
      </w:r>
    </w:p>
    <w:p w14:paraId="005D1579">
      <w:pPr>
        <w:spacing w:after="200" w:line="360" w:lineRule="auto"/>
        <w:jc w:val="both"/>
        <w:rPr>
          <w:rFonts w:asciiTheme="majorBidi" w:hAnsiTheme="majorBidi" w:cstheme="majorBidi"/>
          <w:sz w:val="32"/>
          <w:szCs w:val="32"/>
        </w:rPr>
      </w:pPr>
      <w:r>
        <w:rPr>
          <w:rFonts w:asciiTheme="majorBidi" w:hAnsiTheme="majorBidi" w:cstheme="majorBidi"/>
          <w:sz w:val="32"/>
          <w:szCs w:val="32"/>
        </w:rPr>
        <w:t>Benoit's (2015) Image Repair Theory offers a complementary typology of denial, evasion, reducing offensiveness, corrective action, and mortification, oriented toward image protection rather than beneficiary welfare - a limitation salient when the harmed party is aid-dependent rather than a paying customer. Stakeholder-oriented crisis communication scholarship argues that mission-driven organizations must address a broader and more differentiated stakeholder set than corporate models assume (Ndlela, 2019), a claim illustrated empirically in stakeholder-differentiated crisis response during the Brussels terror attacks (Marynissen &amp; Lauder, 2020) and conceptually in portfolio-based treatments of crisis strategy selection (Nöhammer et al., 2023). Nonprofit-sector crisis communication research specific to the COVID-19 pandemic similarly suggests corporate-derived frameworks apply only partially to mission-driven organizations (Fuller et al., 2022).</w:t>
      </w:r>
    </w:p>
    <w:p w14:paraId="46449353">
      <w:pPr>
        <w:spacing w:after="200" w:line="360" w:lineRule="auto"/>
        <w:jc w:val="both"/>
        <w:rPr>
          <w:rFonts w:asciiTheme="majorBidi" w:hAnsiTheme="majorBidi" w:cstheme="majorBidi"/>
          <w:sz w:val="32"/>
          <w:szCs w:val="32"/>
        </w:rPr>
      </w:pPr>
      <w:r>
        <w:rPr>
          <w:rFonts w:asciiTheme="majorBidi" w:hAnsiTheme="majorBidi" w:cstheme="majorBidi"/>
          <w:sz w:val="32"/>
          <w:szCs w:val="32"/>
        </w:rPr>
        <w:t>The humanitarian-specific literature on crisis communication remains thin, though adjacent literatures are more developed. The recent scoping review by Anfuso et al. (2026) explicitly identifies crisis communication as an underexamined dimension of humanitarian cybersecurity. A growing critical digital-humanitarianism literature frames data collection as now central, rather than incidental, to humanitarian action (Aradau, 2023), documents surveillance risks associated with digitized beneficiary systems (Masiero, 2023), and reviews innovation trends including data-driven tools across the sector (Bruder &amp; Baar, 2024). Work on humanitarian data governance frames it as fundamentally a matter of relationships, trust, and ethics rather than compliance alone (Fast, 2023), while more recent governance scholarship debates whether ethical self-regulation is sufficient or whether stronger legal and political control of humanitarian data is required (Lidén, 2026) - a debate with direct bearing on how this study's protection-bounded transparency and institutional reticence constructs might generalize. Humanitarian information-sharing research identifies structural barriers and opportunities distinct from corporate information environments (Nair et al., 2022).</w:t>
      </w:r>
    </w:p>
    <w:p w14:paraId="09B148A3">
      <w:pPr>
        <w:spacing w:after="200" w:line="360" w:lineRule="auto"/>
        <w:jc w:val="both"/>
        <w:rPr>
          <w:rFonts w:asciiTheme="majorBidi" w:hAnsiTheme="majorBidi" w:cstheme="majorBidi"/>
          <w:sz w:val="32"/>
          <w:szCs w:val="32"/>
        </w:rPr>
      </w:pPr>
      <w:r>
        <w:rPr>
          <w:rFonts w:asciiTheme="majorBidi" w:hAnsiTheme="majorBidi" w:cstheme="majorBidi"/>
          <w:sz w:val="32"/>
          <w:szCs w:val="32"/>
        </w:rPr>
        <w:t>Finally, general crisis-communication scholarship has only recently begun to treat privacy as a first-order concern rather than an afterthought (Watson &amp; Rodrigues, 2017), while legal scholarship on data breaches frames them as a distinct mass-intrusion harm not fully captured by traditional privacy-tort conceptions (Mills, 2017) - a framing consistent with this study's treatment of disclosure limits as potentially protective rather than merely evasive. Table 2 (Literature Matrix) summarizes the studies most directly informing this review; the reference list contains the full set of sources consulted.</w:t>
      </w:r>
    </w:p>
    <w:p w14:paraId="72740F45">
      <w:pPr>
        <w:pStyle w:val="3"/>
        <w:spacing w:before="260" w:after="140"/>
        <w:rPr>
          <w:rFonts w:asciiTheme="majorBidi" w:hAnsiTheme="majorBidi" w:cstheme="majorBidi"/>
          <w:sz w:val="32"/>
          <w:szCs w:val="32"/>
        </w:rPr>
      </w:pPr>
      <w:r>
        <w:rPr>
          <w:rFonts w:asciiTheme="majorBidi" w:hAnsiTheme="majorBidi" w:cstheme="majorBidi"/>
          <w:b/>
          <w:bCs/>
          <w:sz w:val="32"/>
          <w:szCs w:val="32"/>
        </w:rPr>
        <w:t>7.2 Literature Matrix</w:t>
      </w:r>
    </w:p>
    <w:p w14:paraId="27D497FF">
      <w:pPr>
        <w:spacing w:before="180" w:after="60"/>
      </w:pPr>
      <w:r>
        <w:rPr>
          <w:b/>
          <w:sz w:val="20"/>
        </w:rPr>
        <w:t>Table 2. Literature Matrix</w:t>
      </w:r>
    </w:p>
    <w:tbl>
      <w:tblPr>
        <w:tblStyle w:val="9"/>
        <w:tblW w:w="9350" w:type="dxa"/>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123"/>
        <w:gridCol w:w="2149"/>
        <w:gridCol w:w="2502"/>
        <w:gridCol w:w="2576"/>
      </w:tblGrid>
      <w:tr w14:paraId="67C33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shd w:val="clear" w:color="auto" w:fill="D9E2F3"/>
            <w:tcMar>
              <w:top w:w="90" w:type="dxa"/>
              <w:left w:w="90" w:type="dxa"/>
              <w:bottom w:w="90" w:type="dxa"/>
              <w:right w:w="90" w:type="dxa"/>
            </w:tcMar>
          </w:tcPr>
          <w:p w14:paraId="00CAAD88">
            <w:pPr>
              <w:rPr>
                <w:rFonts w:asciiTheme="majorBidi" w:hAnsiTheme="majorBidi" w:cstheme="majorBidi"/>
                <w:sz w:val="32"/>
                <w:szCs w:val="32"/>
              </w:rPr>
            </w:pPr>
            <w:r>
              <w:rPr>
                <w:rFonts w:asciiTheme="majorBidi" w:hAnsiTheme="majorBidi" w:cstheme="majorBidi"/>
                <w:b/>
                <w:bCs/>
                <w:sz w:val="22"/>
                <w:szCs w:val="22"/>
              </w:rPr>
              <w:t>Theme</w:t>
            </w:r>
          </w:p>
        </w:tc>
        <w:tc>
          <w:tcPr>
            <w:tcW w:w="2600" w:type="dxa"/>
            <w:shd w:val="clear" w:color="auto" w:fill="D9E2F3"/>
            <w:tcMar>
              <w:top w:w="90" w:type="dxa"/>
              <w:left w:w="90" w:type="dxa"/>
              <w:bottom w:w="90" w:type="dxa"/>
              <w:right w:w="90" w:type="dxa"/>
            </w:tcMar>
          </w:tcPr>
          <w:p w14:paraId="367E7F29">
            <w:pPr>
              <w:rPr>
                <w:rFonts w:asciiTheme="majorBidi" w:hAnsiTheme="majorBidi" w:cstheme="majorBidi"/>
                <w:sz w:val="32"/>
                <w:szCs w:val="32"/>
              </w:rPr>
            </w:pPr>
            <w:r>
              <w:rPr>
                <w:rFonts w:asciiTheme="majorBidi" w:hAnsiTheme="majorBidi" w:cstheme="majorBidi"/>
                <w:b/>
                <w:bCs/>
                <w:sz w:val="22"/>
                <w:szCs w:val="22"/>
              </w:rPr>
              <w:t>Study</w:t>
            </w:r>
          </w:p>
        </w:tc>
        <w:tc>
          <w:tcPr>
            <w:tcW w:w="2400" w:type="dxa"/>
            <w:shd w:val="clear" w:color="auto" w:fill="D9E2F3"/>
            <w:tcMar>
              <w:top w:w="90" w:type="dxa"/>
              <w:left w:w="90" w:type="dxa"/>
              <w:bottom w:w="90" w:type="dxa"/>
              <w:right w:w="90" w:type="dxa"/>
            </w:tcMar>
          </w:tcPr>
          <w:p w14:paraId="23881F12">
            <w:pPr>
              <w:rPr>
                <w:rFonts w:asciiTheme="majorBidi" w:hAnsiTheme="majorBidi" w:cstheme="majorBidi"/>
                <w:sz w:val="32"/>
                <w:szCs w:val="32"/>
              </w:rPr>
            </w:pPr>
            <w:r>
              <w:rPr>
                <w:rFonts w:asciiTheme="majorBidi" w:hAnsiTheme="majorBidi" w:cstheme="majorBidi"/>
                <w:b/>
                <w:bCs/>
                <w:sz w:val="22"/>
                <w:szCs w:val="22"/>
              </w:rPr>
              <w:t>Context/Method</w:t>
            </w:r>
          </w:p>
        </w:tc>
        <w:tc>
          <w:tcPr>
            <w:tcW w:w="2750" w:type="dxa"/>
            <w:shd w:val="clear" w:color="auto" w:fill="D9E2F3"/>
            <w:tcMar>
              <w:top w:w="90" w:type="dxa"/>
              <w:left w:w="90" w:type="dxa"/>
              <w:bottom w:w="90" w:type="dxa"/>
              <w:right w:w="90" w:type="dxa"/>
            </w:tcMar>
          </w:tcPr>
          <w:p w14:paraId="152128CA">
            <w:pPr>
              <w:rPr>
                <w:rFonts w:asciiTheme="majorBidi" w:hAnsiTheme="majorBidi" w:cstheme="majorBidi"/>
                <w:sz w:val="32"/>
                <w:szCs w:val="32"/>
              </w:rPr>
            </w:pPr>
            <w:r>
              <w:rPr>
                <w:rFonts w:asciiTheme="majorBidi" w:hAnsiTheme="majorBidi" w:cstheme="majorBidi"/>
                <w:b/>
                <w:bCs/>
                <w:sz w:val="22"/>
                <w:szCs w:val="22"/>
              </w:rPr>
              <w:t>Key finding relevant to this study</w:t>
            </w:r>
          </w:p>
        </w:tc>
      </w:tr>
      <w:tr w14:paraId="4343C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65BC21CE">
            <w:pPr>
              <w:rPr>
                <w:rFonts w:asciiTheme="majorBidi" w:hAnsiTheme="majorBidi" w:cstheme="majorBidi"/>
                <w:sz w:val="32"/>
                <w:szCs w:val="32"/>
              </w:rPr>
            </w:pPr>
            <w:r>
              <w:rPr>
                <w:rFonts w:asciiTheme="majorBidi" w:hAnsiTheme="majorBidi" w:cstheme="majorBidi"/>
                <w:sz w:val="22"/>
                <w:szCs w:val="22"/>
              </w:rPr>
              <w:t>SCCT foundations</w:t>
            </w:r>
          </w:p>
        </w:tc>
        <w:tc>
          <w:tcPr>
            <w:tcW w:w="2600" w:type="dxa"/>
            <w:tcMar>
              <w:top w:w="90" w:type="dxa"/>
              <w:left w:w="90" w:type="dxa"/>
              <w:bottom w:w="90" w:type="dxa"/>
              <w:right w:w="90" w:type="dxa"/>
            </w:tcMar>
          </w:tcPr>
          <w:p w14:paraId="4AF3C4C1">
            <w:pPr>
              <w:rPr>
                <w:rFonts w:asciiTheme="majorBidi" w:hAnsiTheme="majorBidi" w:cstheme="majorBidi"/>
                <w:sz w:val="32"/>
                <w:szCs w:val="32"/>
              </w:rPr>
            </w:pPr>
            <w:r>
              <w:rPr>
                <w:rFonts w:asciiTheme="majorBidi" w:hAnsiTheme="majorBidi" w:cstheme="majorBidi"/>
                <w:sz w:val="22"/>
                <w:szCs w:val="22"/>
              </w:rPr>
              <w:t>Coombs (2007)</w:t>
            </w:r>
          </w:p>
        </w:tc>
        <w:tc>
          <w:tcPr>
            <w:tcW w:w="2400" w:type="dxa"/>
            <w:tcMar>
              <w:top w:w="90" w:type="dxa"/>
              <w:left w:w="90" w:type="dxa"/>
              <w:bottom w:w="90" w:type="dxa"/>
              <w:right w:w="90" w:type="dxa"/>
            </w:tcMar>
          </w:tcPr>
          <w:p w14:paraId="3138A03E">
            <w:pPr>
              <w:rPr>
                <w:rFonts w:asciiTheme="majorBidi" w:hAnsiTheme="majorBidi" w:cstheme="majorBidi"/>
                <w:sz w:val="32"/>
                <w:szCs w:val="32"/>
              </w:rPr>
            </w:pPr>
            <w:r>
              <w:rPr>
                <w:rFonts w:asciiTheme="majorBidi" w:hAnsiTheme="majorBidi" w:cstheme="majorBidi"/>
                <w:sz w:val="22"/>
                <w:szCs w:val="22"/>
              </w:rPr>
              <w:t>Theoretical</w:t>
            </w:r>
          </w:p>
        </w:tc>
        <w:tc>
          <w:tcPr>
            <w:tcW w:w="2750" w:type="dxa"/>
            <w:tcMar>
              <w:top w:w="90" w:type="dxa"/>
              <w:left w:w="90" w:type="dxa"/>
              <w:bottom w:w="90" w:type="dxa"/>
              <w:right w:w="90" w:type="dxa"/>
            </w:tcMar>
          </w:tcPr>
          <w:p w14:paraId="02A5C364">
            <w:pPr>
              <w:rPr>
                <w:rFonts w:asciiTheme="majorBidi" w:hAnsiTheme="majorBidi" w:cstheme="majorBidi"/>
                <w:sz w:val="32"/>
                <w:szCs w:val="32"/>
              </w:rPr>
            </w:pPr>
            <w:r>
              <w:rPr>
                <w:rFonts w:asciiTheme="majorBidi" w:hAnsiTheme="majorBidi" w:cstheme="majorBidi"/>
                <w:sz w:val="22"/>
                <w:szCs w:val="22"/>
              </w:rPr>
              <w:t>Response strategy should be calibrated to crisis type and attributed responsibility</w:t>
            </w:r>
          </w:p>
        </w:tc>
      </w:tr>
      <w:tr w14:paraId="3DF7A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494D2EBD">
            <w:pPr>
              <w:rPr>
                <w:rFonts w:asciiTheme="majorBidi" w:hAnsiTheme="majorBidi" w:cstheme="majorBidi"/>
                <w:sz w:val="32"/>
                <w:szCs w:val="32"/>
              </w:rPr>
            </w:pPr>
            <w:r>
              <w:rPr>
                <w:rFonts w:asciiTheme="majorBidi" w:hAnsiTheme="majorBidi" w:cstheme="majorBidi"/>
                <w:sz w:val="22"/>
                <w:szCs w:val="22"/>
              </w:rPr>
              <w:t>SCCT + data breach</w:t>
            </w:r>
          </w:p>
        </w:tc>
        <w:tc>
          <w:tcPr>
            <w:tcW w:w="2600" w:type="dxa"/>
            <w:tcMar>
              <w:top w:w="90" w:type="dxa"/>
              <w:left w:w="90" w:type="dxa"/>
              <w:bottom w:w="90" w:type="dxa"/>
              <w:right w:w="90" w:type="dxa"/>
            </w:tcMar>
          </w:tcPr>
          <w:p w14:paraId="321C0012">
            <w:pPr>
              <w:rPr>
                <w:rFonts w:asciiTheme="majorBidi" w:hAnsiTheme="majorBidi" w:cstheme="majorBidi"/>
                <w:sz w:val="32"/>
                <w:szCs w:val="32"/>
              </w:rPr>
            </w:pPr>
            <w:r>
              <w:rPr>
                <w:rFonts w:asciiTheme="majorBidi" w:hAnsiTheme="majorBidi" w:cstheme="majorBidi"/>
                <w:sz w:val="22"/>
                <w:szCs w:val="22"/>
              </w:rPr>
              <w:t>Kuipers &amp; Schonheit (2022)</w:t>
            </w:r>
          </w:p>
        </w:tc>
        <w:tc>
          <w:tcPr>
            <w:tcW w:w="2400" w:type="dxa"/>
            <w:tcMar>
              <w:top w:w="90" w:type="dxa"/>
              <w:left w:w="90" w:type="dxa"/>
              <w:bottom w:w="90" w:type="dxa"/>
              <w:right w:w="90" w:type="dxa"/>
            </w:tcMar>
          </w:tcPr>
          <w:p w14:paraId="5C192A7A">
            <w:pPr>
              <w:rPr>
                <w:rFonts w:asciiTheme="majorBidi" w:hAnsiTheme="majorBidi" w:cstheme="majorBidi"/>
                <w:sz w:val="32"/>
                <w:szCs w:val="32"/>
              </w:rPr>
            </w:pPr>
            <w:r>
              <w:rPr>
                <w:rFonts w:asciiTheme="majorBidi" w:hAnsiTheme="majorBidi" w:cstheme="majorBidi"/>
                <w:sz w:val="22"/>
                <w:szCs w:val="22"/>
              </w:rPr>
              <w:t>Comparative corporate case analysis</w:t>
            </w:r>
          </w:p>
        </w:tc>
        <w:tc>
          <w:tcPr>
            <w:tcW w:w="2750" w:type="dxa"/>
            <w:tcMar>
              <w:top w:w="90" w:type="dxa"/>
              <w:left w:w="90" w:type="dxa"/>
              <w:bottom w:w="90" w:type="dxa"/>
              <w:right w:w="90" w:type="dxa"/>
            </w:tcMar>
          </w:tcPr>
          <w:p w14:paraId="0DA14101">
            <w:pPr>
              <w:rPr>
                <w:rFonts w:asciiTheme="majorBidi" w:hAnsiTheme="majorBidi" w:cstheme="majorBidi"/>
                <w:sz w:val="32"/>
                <w:szCs w:val="32"/>
              </w:rPr>
            </w:pPr>
            <w:r>
              <w:rPr>
                <w:rFonts w:asciiTheme="majorBidi" w:hAnsiTheme="majorBidi" w:cstheme="majorBidi"/>
                <w:sz w:val="22"/>
                <w:szCs w:val="22"/>
              </w:rPr>
              <w:t>A single consistent strategy outperforms mixed strategies; denial is consistently most damaging</w:t>
            </w:r>
          </w:p>
        </w:tc>
      </w:tr>
      <w:tr w14:paraId="3F4C9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7DAA559A">
            <w:pPr>
              <w:rPr>
                <w:rFonts w:asciiTheme="majorBidi" w:hAnsiTheme="majorBidi" w:cstheme="majorBidi"/>
                <w:sz w:val="32"/>
                <w:szCs w:val="32"/>
              </w:rPr>
            </w:pPr>
            <w:r>
              <w:rPr>
                <w:rFonts w:asciiTheme="majorBidi" w:hAnsiTheme="majorBidi" w:cstheme="majorBidi"/>
                <w:sz w:val="22"/>
                <w:szCs w:val="22"/>
              </w:rPr>
              <w:t>SCCT + data breach</w:t>
            </w:r>
          </w:p>
        </w:tc>
        <w:tc>
          <w:tcPr>
            <w:tcW w:w="2600" w:type="dxa"/>
            <w:tcMar>
              <w:top w:w="90" w:type="dxa"/>
              <w:left w:w="90" w:type="dxa"/>
              <w:bottom w:w="90" w:type="dxa"/>
              <w:right w:w="90" w:type="dxa"/>
            </w:tcMar>
          </w:tcPr>
          <w:p w14:paraId="7D9C8E59">
            <w:pPr>
              <w:rPr>
                <w:rFonts w:asciiTheme="majorBidi" w:hAnsiTheme="majorBidi" w:cstheme="majorBidi"/>
                <w:sz w:val="32"/>
                <w:szCs w:val="32"/>
              </w:rPr>
            </w:pPr>
            <w:r>
              <w:rPr>
                <w:rFonts w:asciiTheme="majorBidi" w:hAnsiTheme="majorBidi" w:cstheme="majorBidi"/>
                <w:sz w:val="22"/>
                <w:szCs w:val="22"/>
              </w:rPr>
              <w:t>Choi, Robinson, Ruddle &amp; Fister (2025)</w:t>
            </w:r>
          </w:p>
        </w:tc>
        <w:tc>
          <w:tcPr>
            <w:tcW w:w="2400" w:type="dxa"/>
            <w:tcMar>
              <w:top w:w="90" w:type="dxa"/>
              <w:left w:w="90" w:type="dxa"/>
              <w:bottom w:w="90" w:type="dxa"/>
              <w:right w:w="90" w:type="dxa"/>
            </w:tcMar>
          </w:tcPr>
          <w:p w14:paraId="415D8FA9">
            <w:pPr>
              <w:rPr>
                <w:rFonts w:asciiTheme="majorBidi" w:hAnsiTheme="majorBidi" w:cstheme="majorBidi"/>
                <w:sz w:val="32"/>
                <w:szCs w:val="32"/>
              </w:rPr>
            </w:pPr>
            <w:r>
              <w:rPr>
                <w:rFonts w:asciiTheme="majorBidi" w:hAnsiTheme="majorBidi" w:cstheme="majorBidi"/>
                <w:sz w:val="22"/>
                <w:szCs w:val="22"/>
              </w:rPr>
              <w:t>Comparative government/nonprofit/for-profit analysis; explicitly discusses the 2022 ICRC breach as an illustrative case</w:t>
            </w:r>
          </w:p>
        </w:tc>
        <w:tc>
          <w:tcPr>
            <w:tcW w:w="2750" w:type="dxa"/>
            <w:tcMar>
              <w:top w:w="90" w:type="dxa"/>
              <w:left w:w="90" w:type="dxa"/>
              <w:bottom w:w="90" w:type="dxa"/>
              <w:right w:w="90" w:type="dxa"/>
            </w:tcMar>
          </w:tcPr>
          <w:p w14:paraId="63C093D3">
            <w:pPr>
              <w:rPr>
                <w:rFonts w:asciiTheme="majorBidi" w:hAnsiTheme="majorBidi" w:cstheme="majorBidi"/>
                <w:sz w:val="32"/>
                <w:szCs w:val="32"/>
              </w:rPr>
            </w:pPr>
            <w:r>
              <w:rPr>
                <w:rFonts w:asciiTheme="majorBidi" w:hAnsiTheme="majorBidi" w:cstheme="majorBidi"/>
                <w:sz w:val="22"/>
                <w:szCs w:val="22"/>
              </w:rPr>
              <w:t>'Rebuild' strategies (responsibility acceptance, apology, corrective action) are associated with stronger trust restoration across sectors, including nonprofit/humanitarian organizations</w:t>
            </w:r>
          </w:p>
        </w:tc>
      </w:tr>
      <w:tr w14:paraId="3998E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5D189FD7">
            <w:pPr>
              <w:rPr>
                <w:rFonts w:asciiTheme="majorBidi" w:hAnsiTheme="majorBidi" w:cstheme="majorBidi"/>
                <w:sz w:val="32"/>
                <w:szCs w:val="32"/>
              </w:rPr>
            </w:pPr>
            <w:r>
              <w:rPr>
                <w:rFonts w:asciiTheme="majorBidi" w:hAnsiTheme="majorBidi" w:cstheme="majorBidi"/>
                <w:sz w:val="22"/>
                <w:szCs w:val="22"/>
              </w:rPr>
              <w:t>SCCT + topic modeling</w:t>
            </w:r>
          </w:p>
        </w:tc>
        <w:tc>
          <w:tcPr>
            <w:tcW w:w="2600" w:type="dxa"/>
            <w:tcMar>
              <w:top w:w="90" w:type="dxa"/>
              <w:left w:w="90" w:type="dxa"/>
              <w:bottom w:w="90" w:type="dxa"/>
              <w:right w:w="90" w:type="dxa"/>
            </w:tcMar>
          </w:tcPr>
          <w:p w14:paraId="5783EB3F">
            <w:pPr>
              <w:rPr>
                <w:rFonts w:asciiTheme="majorBidi" w:hAnsiTheme="majorBidi" w:cstheme="majorBidi"/>
                <w:sz w:val="32"/>
                <w:szCs w:val="32"/>
              </w:rPr>
            </w:pPr>
            <w:r>
              <w:rPr>
                <w:rFonts w:asciiTheme="majorBidi" w:hAnsiTheme="majorBidi" w:cstheme="majorBidi"/>
                <w:sz w:val="22"/>
                <w:szCs w:val="22"/>
              </w:rPr>
              <w:t>Jechle, Schuetz &amp; Gewald (2025)</w:t>
            </w:r>
          </w:p>
        </w:tc>
        <w:tc>
          <w:tcPr>
            <w:tcW w:w="2400" w:type="dxa"/>
            <w:tcMar>
              <w:top w:w="90" w:type="dxa"/>
              <w:left w:w="90" w:type="dxa"/>
              <w:bottom w:w="90" w:type="dxa"/>
              <w:right w:w="90" w:type="dxa"/>
            </w:tcMar>
          </w:tcPr>
          <w:p w14:paraId="6712D355">
            <w:pPr>
              <w:rPr>
                <w:rFonts w:asciiTheme="majorBidi" w:hAnsiTheme="majorBidi" w:cstheme="majorBidi"/>
                <w:sz w:val="32"/>
                <w:szCs w:val="32"/>
              </w:rPr>
            </w:pPr>
            <w:r>
              <w:rPr>
                <w:rFonts w:asciiTheme="majorBidi" w:hAnsiTheme="majorBidi" w:cstheme="majorBidi"/>
                <w:sz w:val="22"/>
                <w:szCs w:val="22"/>
              </w:rPr>
              <w:t>Computational analysis of 7,900+ breach disclosures</w:t>
            </w:r>
          </w:p>
        </w:tc>
        <w:tc>
          <w:tcPr>
            <w:tcW w:w="2750" w:type="dxa"/>
            <w:tcMar>
              <w:top w:w="90" w:type="dxa"/>
              <w:left w:w="90" w:type="dxa"/>
              <w:bottom w:w="90" w:type="dxa"/>
              <w:right w:w="90" w:type="dxa"/>
            </w:tcMar>
          </w:tcPr>
          <w:p w14:paraId="11689CD3">
            <w:pPr>
              <w:rPr>
                <w:rFonts w:asciiTheme="majorBidi" w:hAnsiTheme="majorBidi" w:cstheme="majorBidi"/>
                <w:sz w:val="32"/>
                <w:szCs w:val="32"/>
              </w:rPr>
            </w:pPr>
            <w:r>
              <w:rPr>
                <w:rFonts w:asciiTheme="majorBidi" w:hAnsiTheme="majorBidi" w:cstheme="majorBidi"/>
                <w:sz w:val="22"/>
                <w:szCs w:val="22"/>
              </w:rPr>
              <w:t>Organizations frequently blend compensation, victimage, and apology framings simultaneously</w:t>
            </w:r>
          </w:p>
        </w:tc>
      </w:tr>
      <w:tr w14:paraId="59B61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0A93F156">
            <w:pPr>
              <w:rPr>
                <w:rFonts w:asciiTheme="majorBidi" w:hAnsiTheme="majorBidi" w:cstheme="majorBidi"/>
                <w:sz w:val="32"/>
                <w:szCs w:val="32"/>
              </w:rPr>
            </w:pPr>
            <w:r>
              <w:rPr>
                <w:rFonts w:asciiTheme="majorBidi" w:hAnsiTheme="majorBidi" w:cstheme="majorBidi"/>
                <w:sz w:val="22"/>
                <w:szCs w:val="22"/>
              </w:rPr>
              <w:t>SCCT meta-analysis</w:t>
            </w:r>
          </w:p>
        </w:tc>
        <w:tc>
          <w:tcPr>
            <w:tcW w:w="2600" w:type="dxa"/>
            <w:tcMar>
              <w:top w:w="90" w:type="dxa"/>
              <w:left w:w="90" w:type="dxa"/>
              <w:bottom w:w="90" w:type="dxa"/>
              <w:right w:w="90" w:type="dxa"/>
            </w:tcMar>
          </w:tcPr>
          <w:p w14:paraId="453CAD20">
            <w:pPr>
              <w:rPr>
                <w:rFonts w:asciiTheme="majorBidi" w:hAnsiTheme="majorBidi" w:cstheme="majorBidi"/>
                <w:sz w:val="32"/>
                <w:szCs w:val="32"/>
              </w:rPr>
            </w:pPr>
            <w:r>
              <w:rPr>
                <w:rFonts w:asciiTheme="majorBidi" w:hAnsiTheme="majorBidi" w:cstheme="majorBidi"/>
                <w:sz w:val="22"/>
                <w:szCs w:val="22"/>
              </w:rPr>
              <w:t>Avery &amp; Park (2016)</w:t>
            </w:r>
          </w:p>
        </w:tc>
        <w:tc>
          <w:tcPr>
            <w:tcW w:w="2400" w:type="dxa"/>
            <w:tcMar>
              <w:top w:w="90" w:type="dxa"/>
              <w:left w:w="90" w:type="dxa"/>
              <w:bottom w:w="90" w:type="dxa"/>
              <w:right w:w="90" w:type="dxa"/>
            </w:tcMar>
          </w:tcPr>
          <w:p w14:paraId="19200C35">
            <w:pPr>
              <w:rPr>
                <w:rFonts w:asciiTheme="majorBidi" w:hAnsiTheme="majorBidi" w:cstheme="majorBidi"/>
                <w:sz w:val="32"/>
                <w:szCs w:val="32"/>
              </w:rPr>
            </w:pPr>
            <w:r>
              <w:rPr>
                <w:rFonts w:asciiTheme="majorBidi" w:hAnsiTheme="majorBidi" w:cstheme="majorBidi"/>
                <w:sz w:val="22"/>
                <w:szCs w:val="22"/>
              </w:rPr>
              <w:t>Meta-analysis</w:t>
            </w:r>
          </w:p>
        </w:tc>
        <w:tc>
          <w:tcPr>
            <w:tcW w:w="2750" w:type="dxa"/>
            <w:tcMar>
              <w:top w:w="90" w:type="dxa"/>
              <w:left w:w="90" w:type="dxa"/>
              <w:bottom w:w="90" w:type="dxa"/>
              <w:right w:w="90" w:type="dxa"/>
            </w:tcMar>
          </w:tcPr>
          <w:p w14:paraId="297AF0B7">
            <w:pPr>
              <w:rPr>
                <w:rFonts w:asciiTheme="majorBidi" w:hAnsiTheme="majorBidi" w:cstheme="majorBidi"/>
                <w:sz w:val="32"/>
                <w:szCs w:val="32"/>
              </w:rPr>
            </w:pPr>
            <w:r>
              <w:rPr>
                <w:rFonts w:asciiTheme="majorBidi" w:hAnsiTheme="majorBidi" w:cstheme="majorBidi"/>
                <w:sz w:val="22"/>
                <w:szCs w:val="22"/>
              </w:rPr>
              <w:t>Attributed responsibility significantly shapes reputational outcomes across SCCT studies</w:t>
            </w:r>
          </w:p>
        </w:tc>
      </w:tr>
      <w:tr w14:paraId="171EB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69C5B276">
            <w:pPr>
              <w:rPr>
                <w:rFonts w:asciiTheme="majorBidi" w:hAnsiTheme="majorBidi" w:cstheme="majorBidi"/>
                <w:sz w:val="32"/>
                <w:szCs w:val="32"/>
              </w:rPr>
            </w:pPr>
            <w:r>
              <w:rPr>
                <w:rFonts w:asciiTheme="majorBidi" w:hAnsiTheme="majorBidi" w:cstheme="majorBidi"/>
                <w:sz w:val="22"/>
                <w:szCs w:val="22"/>
              </w:rPr>
              <w:t>Data breach communication</w:t>
            </w:r>
          </w:p>
        </w:tc>
        <w:tc>
          <w:tcPr>
            <w:tcW w:w="2600" w:type="dxa"/>
            <w:tcMar>
              <w:top w:w="90" w:type="dxa"/>
              <w:left w:w="90" w:type="dxa"/>
              <w:bottom w:w="90" w:type="dxa"/>
              <w:right w:w="90" w:type="dxa"/>
            </w:tcMar>
          </w:tcPr>
          <w:p w14:paraId="4696322F">
            <w:pPr>
              <w:rPr>
                <w:rFonts w:asciiTheme="majorBidi" w:hAnsiTheme="majorBidi" w:cstheme="majorBidi"/>
                <w:sz w:val="32"/>
                <w:szCs w:val="32"/>
              </w:rPr>
            </w:pPr>
            <w:r>
              <w:rPr>
                <w:rFonts w:asciiTheme="majorBidi" w:hAnsiTheme="majorBidi" w:cstheme="majorBidi"/>
                <w:sz w:val="22"/>
                <w:szCs w:val="22"/>
              </w:rPr>
              <w:t>Ruohonen, Hjerppe &amp; Kortesuo (2024)</w:t>
            </w:r>
          </w:p>
        </w:tc>
        <w:tc>
          <w:tcPr>
            <w:tcW w:w="2400" w:type="dxa"/>
            <w:tcMar>
              <w:top w:w="90" w:type="dxa"/>
              <w:left w:w="90" w:type="dxa"/>
              <w:bottom w:w="90" w:type="dxa"/>
              <w:right w:w="90" w:type="dxa"/>
            </w:tcMar>
          </w:tcPr>
          <w:p w14:paraId="2F6BB108">
            <w:pPr>
              <w:rPr>
                <w:rFonts w:asciiTheme="majorBidi" w:hAnsiTheme="majorBidi" w:cstheme="majorBidi"/>
                <w:sz w:val="32"/>
                <w:szCs w:val="32"/>
              </w:rPr>
            </w:pPr>
            <w:r>
              <w:rPr>
                <w:rFonts w:asciiTheme="majorBidi" w:hAnsiTheme="majorBidi" w:cstheme="majorBidi"/>
                <w:sz w:val="22"/>
                <w:szCs w:val="22"/>
              </w:rPr>
              <w:t>Qualitative case studies, Finland</w:t>
            </w:r>
          </w:p>
        </w:tc>
        <w:tc>
          <w:tcPr>
            <w:tcW w:w="2750" w:type="dxa"/>
            <w:tcMar>
              <w:top w:w="90" w:type="dxa"/>
              <w:left w:w="90" w:type="dxa"/>
              <w:bottom w:w="90" w:type="dxa"/>
              <w:right w:w="90" w:type="dxa"/>
            </w:tcMar>
          </w:tcPr>
          <w:p w14:paraId="15E0DBB0">
            <w:pPr>
              <w:rPr>
                <w:rFonts w:asciiTheme="majorBidi" w:hAnsiTheme="majorBidi" w:cstheme="majorBidi"/>
                <w:sz w:val="32"/>
                <w:szCs w:val="32"/>
              </w:rPr>
            </w:pPr>
            <w:r>
              <w:rPr>
                <w:rFonts w:asciiTheme="majorBidi" w:hAnsiTheme="majorBidi" w:cstheme="majorBidi"/>
                <w:sz w:val="22"/>
                <w:szCs w:val="22"/>
              </w:rPr>
              <w:t>Early communication, responsibility acceptance, apology, and authority notification distinguish successful from unsuccessful cases</w:t>
            </w:r>
          </w:p>
        </w:tc>
      </w:tr>
      <w:tr w14:paraId="74FD5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49BE088B">
            <w:pPr>
              <w:rPr>
                <w:rFonts w:asciiTheme="majorBidi" w:hAnsiTheme="majorBidi" w:cstheme="majorBidi"/>
                <w:sz w:val="32"/>
                <w:szCs w:val="32"/>
              </w:rPr>
            </w:pPr>
            <w:r>
              <w:rPr>
                <w:rFonts w:asciiTheme="majorBidi" w:hAnsiTheme="majorBidi" w:cstheme="majorBidi"/>
                <w:sz w:val="22"/>
                <w:szCs w:val="22"/>
              </w:rPr>
              <w:t>Data breach communication</w:t>
            </w:r>
          </w:p>
        </w:tc>
        <w:tc>
          <w:tcPr>
            <w:tcW w:w="2600" w:type="dxa"/>
            <w:tcMar>
              <w:top w:w="90" w:type="dxa"/>
              <w:left w:w="90" w:type="dxa"/>
              <w:bottom w:w="90" w:type="dxa"/>
              <w:right w:w="90" w:type="dxa"/>
            </w:tcMar>
          </w:tcPr>
          <w:p w14:paraId="3FCEEDC1">
            <w:pPr>
              <w:rPr>
                <w:rFonts w:asciiTheme="majorBidi" w:hAnsiTheme="majorBidi" w:cstheme="majorBidi"/>
                <w:sz w:val="32"/>
                <w:szCs w:val="32"/>
              </w:rPr>
            </w:pPr>
            <w:r>
              <w:rPr>
                <w:rFonts w:asciiTheme="majorBidi" w:hAnsiTheme="majorBidi" w:cstheme="majorBidi"/>
                <w:sz w:val="22"/>
                <w:szCs w:val="22"/>
              </w:rPr>
              <w:t>Masuch, Greve &amp; Trang (2021)</w:t>
            </w:r>
          </w:p>
        </w:tc>
        <w:tc>
          <w:tcPr>
            <w:tcW w:w="2400" w:type="dxa"/>
            <w:tcMar>
              <w:top w:w="90" w:type="dxa"/>
              <w:left w:w="90" w:type="dxa"/>
              <w:bottom w:w="90" w:type="dxa"/>
              <w:right w:w="90" w:type="dxa"/>
            </w:tcMar>
          </w:tcPr>
          <w:p w14:paraId="72A34E85">
            <w:pPr>
              <w:rPr>
                <w:rFonts w:asciiTheme="majorBidi" w:hAnsiTheme="majorBidi" w:cstheme="majorBidi"/>
                <w:sz w:val="32"/>
                <w:szCs w:val="32"/>
              </w:rPr>
            </w:pPr>
            <w:r>
              <w:rPr>
                <w:rFonts w:asciiTheme="majorBidi" w:hAnsiTheme="majorBidi" w:cstheme="majorBidi"/>
                <w:sz w:val="22"/>
                <w:szCs w:val="22"/>
              </w:rPr>
              <w:t>Health-service provider sample</w:t>
            </w:r>
          </w:p>
        </w:tc>
        <w:tc>
          <w:tcPr>
            <w:tcW w:w="2750" w:type="dxa"/>
            <w:tcMar>
              <w:top w:w="90" w:type="dxa"/>
              <w:left w:w="90" w:type="dxa"/>
              <w:bottom w:w="90" w:type="dxa"/>
              <w:right w:w="90" w:type="dxa"/>
            </w:tcMar>
          </w:tcPr>
          <w:p w14:paraId="1D5BA6F1">
            <w:pPr>
              <w:rPr>
                <w:rFonts w:asciiTheme="majorBidi" w:hAnsiTheme="majorBidi" w:cstheme="majorBidi"/>
                <w:sz w:val="32"/>
                <w:szCs w:val="32"/>
              </w:rPr>
            </w:pPr>
            <w:r>
              <w:rPr>
                <w:rFonts w:asciiTheme="majorBidi" w:hAnsiTheme="majorBidi" w:cstheme="majorBidi"/>
                <w:sz w:val="22"/>
                <w:szCs w:val="22"/>
              </w:rPr>
              <w:t>Apology and compensation strategies shape post-breach stakeholder response</w:t>
            </w:r>
          </w:p>
        </w:tc>
      </w:tr>
      <w:tr w14:paraId="0593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791E920C">
            <w:pPr>
              <w:rPr>
                <w:rFonts w:asciiTheme="majorBidi" w:hAnsiTheme="majorBidi" w:cstheme="majorBidi"/>
                <w:sz w:val="32"/>
                <w:szCs w:val="32"/>
              </w:rPr>
            </w:pPr>
            <w:r>
              <w:rPr>
                <w:rFonts w:asciiTheme="majorBidi" w:hAnsiTheme="majorBidi" w:cstheme="majorBidi"/>
                <w:sz w:val="22"/>
                <w:szCs w:val="22"/>
              </w:rPr>
              <w:t>Data breach communication</w:t>
            </w:r>
          </w:p>
        </w:tc>
        <w:tc>
          <w:tcPr>
            <w:tcW w:w="2600" w:type="dxa"/>
            <w:tcMar>
              <w:top w:w="90" w:type="dxa"/>
              <w:left w:w="90" w:type="dxa"/>
              <w:bottom w:w="90" w:type="dxa"/>
              <w:right w:w="90" w:type="dxa"/>
            </w:tcMar>
          </w:tcPr>
          <w:p w14:paraId="7DA1FDB0">
            <w:pPr>
              <w:rPr>
                <w:rFonts w:asciiTheme="majorBidi" w:hAnsiTheme="majorBidi" w:cstheme="majorBidi"/>
                <w:sz w:val="32"/>
                <w:szCs w:val="32"/>
              </w:rPr>
            </w:pPr>
            <w:r>
              <w:rPr>
                <w:rFonts w:asciiTheme="majorBidi" w:hAnsiTheme="majorBidi" w:cstheme="majorBidi"/>
                <w:sz w:val="22"/>
                <w:szCs w:val="22"/>
              </w:rPr>
              <w:t>Schlackl, Link &amp; Hoehle (2022)</w:t>
            </w:r>
          </w:p>
        </w:tc>
        <w:tc>
          <w:tcPr>
            <w:tcW w:w="2400" w:type="dxa"/>
            <w:tcMar>
              <w:top w:w="90" w:type="dxa"/>
              <w:left w:w="90" w:type="dxa"/>
              <w:bottom w:w="90" w:type="dxa"/>
              <w:right w:w="90" w:type="dxa"/>
            </w:tcMar>
          </w:tcPr>
          <w:p w14:paraId="5FA23435">
            <w:pPr>
              <w:rPr>
                <w:rFonts w:asciiTheme="majorBidi" w:hAnsiTheme="majorBidi" w:cstheme="majorBidi"/>
                <w:sz w:val="32"/>
                <w:szCs w:val="32"/>
              </w:rPr>
            </w:pPr>
            <w:r>
              <w:rPr>
                <w:rFonts w:asciiTheme="majorBidi" w:hAnsiTheme="majorBidi" w:cstheme="majorBidi"/>
                <w:sz w:val="22"/>
                <w:szCs w:val="22"/>
              </w:rPr>
              <w:t>Systematic review</w:t>
            </w:r>
          </w:p>
        </w:tc>
        <w:tc>
          <w:tcPr>
            <w:tcW w:w="2750" w:type="dxa"/>
            <w:tcMar>
              <w:top w:w="90" w:type="dxa"/>
              <w:left w:w="90" w:type="dxa"/>
              <w:bottom w:w="90" w:type="dxa"/>
              <w:right w:w="90" w:type="dxa"/>
            </w:tcMar>
          </w:tcPr>
          <w:p w14:paraId="376838D6">
            <w:pPr>
              <w:rPr>
                <w:rFonts w:asciiTheme="majorBidi" w:hAnsiTheme="majorBidi" w:cstheme="majorBidi"/>
                <w:sz w:val="32"/>
                <w:szCs w:val="32"/>
              </w:rPr>
            </w:pPr>
            <w:r>
              <w:rPr>
                <w:rFonts w:asciiTheme="majorBidi" w:hAnsiTheme="majorBidi" w:cstheme="majorBidi"/>
                <w:sz w:val="22"/>
                <w:szCs w:val="22"/>
              </w:rPr>
              <w:t>Synthesizes antecedents and consequences of data breaches across the information-systems literature</w:t>
            </w:r>
          </w:p>
        </w:tc>
      </w:tr>
      <w:tr w14:paraId="7FC86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32FF4ACE">
            <w:pPr>
              <w:rPr>
                <w:rFonts w:asciiTheme="majorBidi" w:hAnsiTheme="majorBidi" w:cstheme="majorBidi"/>
                <w:sz w:val="32"/>
                <w:szCs w:val="32"/>
              </w:rPr>
            </w:pPr>
            <w:r>
              <w:rPr>
                <w:rFonts w:asciiTheme="majorBidi" w:hAnsiTheme="majorBidi" w:cstheme="majorBidi"/>
                <w:sz w:val="22"/>
                <w:szCs w:val="22"/>
              </w:rPr>
              <w:t>Image Repair Theory</w:t>
            </w:r>
          </w:p>
        </w:tc>
        <w:tc>
          <w:tcPr>
            <w:tcW w:w="2600" w:type="dxa"/>
            <w:tcMar>
              <w:top w:w="90" w:type="dxa"/>
              <w:left w:w="90" w:type="dxa"/>
              <w:bottom w:w="90" w:type="dxa"/>
              <w:right w:w="90" w:type="dxa"/>
            </w:tcMar>
          </w:tcPr>
          <w:p w14:paraId="6F961341">
            <w:pPr>
              <w:rPr>
                <w:rFonts w:asciiTheme="majorBidi" w:hAnsiTheme="majorBidi" w:cstheme="majorBidi"/>
                <w:sz w:val="32"/>
                <w:szCs w:val="32"/>
              </w:rPr>
            </w:pPr>
            <w:r>
              <w:rPr>
                <w:rFonts w:asciiTheme="majorBidi" w:hAnsiTheme="majorBidi" w:cstheme="majorBidi"/>
                <w:sz w:val="22"/>
                <w:szCs w:val="22"/>
              </w:rPr>
              <w:t>Benoit (2015)</w:t>
            </w:r>
          </w:p>
        </w:tc>
        <w:tc>
          <w:tcPr>
            <w:tcW w:w="2400" w:type="dxa"/>
            <w:tcMar>
              <w:top w:w="90" w:type="dxa"/>
              <w:left w:w="90" w:type="dxa"/>
              <w:bottom w:w="90" w:type="dxa"/>
              <w:right w:w="90" w:type="dxa"/>
            </w:tcMar>
          </w:tcPr>
          <w:p w14:paraId="225B330A">
            <w:pPr>
              <w:rPr>
                <w:rFonts w:asciiTheme="majorBidi" w:hAnsiTheme="majorBidi" w:cstheme="majorBidi"/>
                <w:sz w:val="32"/>
                <w:szCs w:val="32"/>
              </w:rPr>
            </w:pPr>
            <w:r>
              <w:rPr>
                <w:rFonts w:asciiTheme="majorBidi" w:hAnsiTheme="majorBidi" w:cstheme="majorBidi"/>
                <w:sz w:val="22"/>
                <w:szCs w:val="22"/>
              </w:rPr>
              <w:t>Theoretical</w:t>
            </w:r>
          </w:p>
        </w:tc>
        <w:tc>
          <w:tcPr>
            <w:tcW w:w="2750" w:type="dxa"/>
            <w:tcMar>
              <w:top w:w="90" w:type="dxa"/>
              <w:left w:w="90" w:type="dxa"/>
              <w:bottom w:w="90" w:type="dxa"/>
              <w:right w:w="90" w:type="dxa"/>
            </w:tcMar>
          </w:tcPr>
          <w:p w14:paraId="22DB007F">
            <w:pPr>
              <w:rPr>
                <w:rFonts w:asciiTheme="majorBidi" w:hAnsiTheme="majorBidi" w:cstheme="majorBidi"/>
                <w:sz w:val="32"/>
                <w:szCs w:val="32"/>
              </w:rPr>
            </w:pPr>
            <w:r>
              <w:rPr>
                <w:rFonts w:asciiTheme="majorBidi" w:hAnsiTheme="majorBidi" w:cstheme="majorBidi"/>
                <w:sz w:val="22"/>
                <w:szCs w:val="22"/>
              </w:rPr>
              <w:t>Typology of denial, evasion, reducing offensiveness, corrective action, mortification; oriented to image protection</w:t>
            </w:r>
          </w:p>
        </w:tc>
      </w:tr>
      <w:tr w14:paraId="0D609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3B020EE8">
            <w:pPr>
              <w:rPr>
                <w:rFonts w:asciiTheme="majorBidi" w:hAnsiTheme="majorBidi" w:cstheme="majorBidi"/>
                <w:sz w:val="32"/>
                <w:szCs w:val="32"/>
              </w:rPr>
            </w:pPr>
            <w:r>
              <w:rPr>
                <w:rFonts w:asciiTheme="majorBidi" w:hAnsiTheme="majorBidi" w:cstheme="majorBidi"/>
                <w:sz w:val="22"/>
                <w:szCs w:val="22"/>
              </w:rPr>
              <w:t>Trust repair</w:t>
            </w:r>
          </w:p>
        </w:tc>
        <w:tc>
          <w:tcPr>
            <w:tcW w:w="2600" w:type="dxa"/>
            <w:tcMar>
              <w:top w:w="90" w:type="dxa"/>
              <w:left w:w="90" w:type="dxa"/>
              <w:bottom w:w="90" w:type="dxa"/>
              <w:right w:w="90" w:type="dxa"/>
            </w:tcMar>
          </w:tcPr>
          <w:p w14:paraId="0BFC8875">
            <w:pPr>
              <w:rPr>
                <w:rFonts w:asciiTheme="majorBidi" w:hAnsiTheme="majorBidi" w:cstheme="majorBidi"/>
                <w:sz w:val="32"/>
                <w:szCs w:val="32"/>
              </w:rPr>
            </w:pPr>
            <w:r>
              <w:rPr>
                <w:rFonts w:asciiTheme="majorBidi" w:hAnsiTheme="majorBidi" w:cstheme="majorBidi"/>
                <w:sz w:val="22"/>
                <w:szCs w:val="22"/>
              </w:rPr>
              <w:t>Liu &amp; Duarte (2023)</w:t>
            </w:r>
          </w:p>
        </w:tc>
        <w:tc>
          <w:tcPr>
            <w:tcW w:w="2400" w:type="dxa"/>
            <w:tcMar>
              <w:top w:w="90" w:type="dxa"/>
              <w:left w:w="90" w:type="dxa"/>
              <w:bottom w:w="90" w:type="dxa"/>
              <w:right w:w="90" w:type="dxa"/>
            </w:tcMar>
          </w:tcPr>
          <w:p w14:paraId="110AB59A">
            <w:pPr>
              <w:rPr>
                <w:rFonts w:asciiTheme="majorBidi" w:hAnsiTheme="majorBidi" w:cstheme="majorBidi"/>
                <w:sz w:val="32"/>
                <w:szCs w:val="32"/>
              </w:rPr>
            </w:pPr>
            <w:r>
              <w:rPr>
                <w:rFonts w:asciiTheme="majorBidi" w:hAnsiTheme="majorBidi" w:cstheme="majorBidi"/>
                <w:sz w:val="22"/>
                <w:szCs w:val="22"/>
              </w:rPr>
              <w:t>Systematic review, health crises</w:t>
            </w:r>
          </w:p>
        </w:tc>
        <w:tc>
          <w:tcPr>
            <w:tcW w:w="2750" w:type="dxa"/>
            <w:tcMar>
              <w:top w:w="90" w:type="dxa"/>
              <w:left w:w="90" w:type="dxa"/>
              <w:bottom w:w="90" w:type="dxa"/>
              <w:right w:w="90" w:type="dxa"/>
            </w:tcMar>
          </w:tcPr>
          <w:p w14:paraId="47BBE7A4">
            <w:pPr>
              <w:rPr>
                <w:rFonts w:asciiTheme="majorBidi" w:hAnsiTheme="majorBidi" w:cstheme="majorBidi"/>
                <w:sz w:val="32"/>
                <w:szCs w:val="32"/>
              </w:rPr>
            </w:pPr>
            <w:r>
              <w:rPr>
                <w:rFonts w:asciiTheme="majorBidi" w:hAnsiTheme="majorBidi" w:cstheme="majorBidi"/>
                <w:sz w:val="22"/>
                <w:szCs w:val="22"/>
              </w:rPr>
              <w:t>Identifies recurring public-trust-repair communication mechanisms across health-crisis contexts</w:t>
            </w:r>
          </w:p>
        </w:tc>
      </w:tr>
      <w:tr w14:paraId="48E88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46C8D48D">
            <w:pPr>
              <w:rPr>
                <w:rFonts w:asciiTheme="majorBidi" w:hAnsiTheme="majorBidi" w:cstheme="majorBidi"/>
                <w:sz w:val="32"/>
                <w:szCs w:val="32"/>
              </w:rPr>
            </w:pPr>
            <w:r>
              <w:rPr>
                <w:rFonts w:asciiTheme="majorBidi" w:hAnsiTheme="majorBidi" w:cstheme="majorBidi"/>
                <w:sz w:val="22"/>
                <w:szCs w:val="22"/>
              </w:rPr>
              <w:t>Nonprofit/stakeholder crisis communication</w:t>
            </w:r>
          </w:p>
        </w:tc>
        <w:tc>
          <w:tcPr>
            <w:tcW w:w="2600" w:type="dxa"/>
            <w:tcMar>
              <w:top w:w="90" w:type="dxa"/>
              <w:left w:w="90" w:type="dxa"/>
              <w:bottom w:w="90" w:type="dxa"/>
              <w:right w:w="90" w:type="dxa"/>
            </w:tcMar>
          </w:tcPr>
          <w:p w14:paraId="2DD04EFD">
            <w:pPr>
              <w:rPr>
                <w:rFonts w:asciiTheme="majorBidi" w:hAnsiTheme="majorBidi" w:cstheme="majorBidi"/>
                <w:sz w:val="32"/>
                <w:szCs w:val="32"/>
              </w:rPr>
            </w:pPr>
            <w:r>
              <w:rPr>
                <w:rFonts w:asciiTheme="majorBidi" w:hAnsiTheme="majorBidi" w:cstheme="majorBidi"/>
                <w:sz w:val="22"/>
                <w:szCs w:val="22"/>
              </w:rPr>
              <w:t>Ndlela (2019)</w:t>
            </w:r>
          </w:p>
        </w:tc>
        <w:tc>
          <w:tcPr>
            <w:tcW w:w="2400" w:type="dxa"/>
            <w:tcMar>
              <w:top w:w="90" w:type="dxa"/>
              <w:left w:w="90" w:type="dxa"/>
              <w:bottom w:w="90" w:type="dxa"/>
              <w:right w:w="90" w:type="dxa"/>
            </w:tcMar>
          </w:tcPr>
          <w:p w14:paraId="76F52405">
            <w:pPr>
              <w:rPr>
                <w:rFonts w:asciiTheme="majorBidi" w:hAnsiTheme="majorBidi" w:cstheme="majorBidi"/>
                <w:sz w:val="32"/>
                <w:szCs w:val="32"/>
              </w:rPr>
            </w:pPr>
            <w:r>
              <w:rPr>
                <w:rFonts w:asciiTheme="majorBidi" w:hAnsiTheme="majorBidi" w:cstheme="majorBidi"/>
                <w:sz w:val="22"/>
                <w:szCs w:val="22"/>
              </w:rPr>
              <w:t>Theoretical/stakeholder approach</w:t>
            </w:r>
          </w:p>
        </w:tc>
        <w:tc>
          <w:tcPr>
            <w:tcW w:w="2750" w:type="dxa"/>
            <w:tcMar>
              <w:top w:w="90" w:type="dxa"/>
              <w:left w:w="90" w:type="dxa"/>
              <w:bottom w:w="90" w:type="dxa"/>
              <w:right w:w="90" w:type="dxa"/>
            </w:tcMar>
          </w:tcPr>
          <w:p w14:paraId="159349E4">
            <w:pPr>
              <w:rPr>
                <w:rFonts w:asciiTheme="majorBidi" w:hAnsiTheme="majorBidi" w:cstheme="majorBidi"/>
                <w:sz w:val="32"/>
                <w:szCs w:val="32"/>
              </w:rPr>
            </w:pPr>
            <w:r>
              <w:rPr>
                <w:rFonts w:asciiTheme="majorBidi" w:hAnsiTheme="majorBidi" w:cstheme="majorBidi"/>
                <w:sz w:val="22"/>
                <w:szCs w:val="22"/>
              </w:rPr>
              <w:t>Argues crisis communication in mission-driven organizations must address a broader stakeholder set than corporate models assume</w:t>
            </w:r>
          </w:p>
        </w:tc>
      </w:tr>
      <w:tr w14:paraId="6CF55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5C051B36">
            <w:pPr>
              <w:rPr>
                <w:rFonts w:asciiTheme="majorBidi" w:hAnsiTheme="majorBidi" w:cstheme="majorBidi"/>
                <w:sz w:val="32"/>
                <w:szCs w:val="32"/>
              </w:rPr>
            </w:pPr>
            <w:r>
              <w:rPr>
                <w:rFonts w:asciiTheme="majorBidi" w:hAnsiTheme="majorBidi" w:cstheme="majorBidi"/>
                <w:sz w:val="22"/>
                <w:szCs w:val="22"/>
              </w:rPr>
              <w:t>Nonprofit crisis communication</w:t>
            </w:r>
          </w:p>
        </w:tc>
        <w:tc>
          <w:tcPr>
            <w:tcW w:w="2600" w:type="dxa"/>
            <w:tcMar>
              <w:top w:w="90" w:type="dxa"/>
              <w:left w:w="90" w:type="dxa"/>
              <w:bottom w:w="90" w:type="dxa"/>
              <w:right w:w="90" w:type="dxa"/>
            </w:tcMar>
          </w:tcPr>
          <w:p w14:paraId="37395776">
            <w:pPr>
              <w:rPr>
                <w:rFonts w:asciiTheme="majorBidi" w:hAnsiTheme="majorBidi" w:cstheme="majorBidi"/>
                <w:sz w:val="32"/>
                <w:szCs w:val="32"/>
              </w:rPr>
            </w:pPr>
            <w:r>
              <w:rPr>
                <w:rFonts w:asciiTheme="majorBidi" w:hAnsiTheme="majorBidi" w:cstheme="majorBidi"/>
                <w:sz w:val="22"/>
                <w:szCs w:val="22"/>
              </w:rPr>
              <w:t>Fuller et al. (2022)</w:t>
            </w:r>
          </w:p>
        </w:tc>
        <w:tc>
          <w:tcPr>
            <w:tcW w:w="2400" w:type="dxa"/>
            <w:tcMar>
              <w:top w:w="90" w:type="dxa"/>
              <w:left w:w="90" w:type="dxa"/>
              <w:bottom w:w="90" w:type="dxa"/>
              <w:right w:w="90" w:type="dxa"/>
            </w:tcMar>
          </w:tcPr>
          <w:p w14:paraId="3A0CDF80">
            <w:pPr>
              <w:rPr>
                <w:rFonts w:asciiTheme="majorBidi" w:hAnsiTheme="majorBidi" w:cstheme="majorBidi"/>
                <w:sz w:val="32"/>
                <w:szCs w:val="32"/>
              </w:rPr>
            </w:pPr>
            <w:r>
              <w:rPr>
                <w:rFonts w:asciiTheme="majorBidi" w:hAnsiTheme="majorBidi" w:cstheme="majorBidi"/>
                <w:sz w:val="22"/>
                <w:szCs w:val="22"/>
              </w:rPr>
              <w:t>COVID-19 nonprofit sample</w:t>
            </w:r>
          </w:p>
        </w:tc>
        <w:tc>
          <w:tcPr>
            <w:tcW w:w="2750" w:type="dxa"/>
            <w:tcMar>
              <w:top w:w="90" w:type="dxa"/>
              <w:left w:w="90" w:type="dxa"/>
              <w:bottom w:w="90" w:type="dxa"/>
              <w:right w:w="90" w:type="dxa"/>
            </w:tcMar>
          </w:tcPr>
          <w:p w14:paraId="4BAA83B3">
            <w:pPr>
              <w:rPr>
                <w:rFonts w:asciiTheme="majorBidi" w:hAnsiTheme="majorBidi" w:cstheme="majorBidi"/>
                <w:sz w:val="32"/>
                <w:szCs w:val="32"/>
              </w:rPr>
            </w:pPr>
            <w:r>
              <w:rPr>
                <w:rFonts w:asciiTheme="majorBidi" w:hAnsiTheme="majorBidi" w:cstheme="majorBidi"/>
                <w:sz w:val="22"/>
                <w:szCs w:val="22"/>
              </w:rPr>
              <w:t>Corporate-derived crisis frameworks apply only partially to mission-driven organizations</w:t>
            </w:r>
          </w:p>
        </w:tc>
      </w:tr>
      <w:tr w14:paraId="2E762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51379FBD">
            <w:pPr>
              <w:rPr>
                <w:rFonts w:asciiTheme="majorBidi" w:hAnsiTheme="majorBidi" w:cstheme="majorBidi"/>
                <w:sz w:val="32"/>
                <w:szCs w:val="32"/>
              </w:rPr>
            </w:pPr>
            <w:r>
              <w:rPr>
                <w:rFonts w:asciiTheme="majorBidi" w:hAnsiTheme="majorBidi" w:cstheme="majorBidi"/>
                <w:sz w:val="22"/>
                <w:szCs w:val="22"/>
              </w:rPr>
              <w:t>Crisis communication portfolio</w:t>
            </w:r>
          </w:p>
        </w:tc>
        <w:tc>
          <w:tcPr>
            <w:tcW w:w="2600" w:type="dxa"/>
            <w:tcMar>
              <w:top w:w="90" w:type="dxa"/>
              <w:left w:w="90" w:type="dxa"/>
              <w:bottom w:w="90" w:type="dxa"/>
              <w:right w:w="90" w:type="dxa"/>
            </w:tcMar>
          </w:tcPr>
          <w:p w14:paraId="50BCEEE7">
            <w:pPr>
              <w:rPr>
                <w:rFonts w:asciiTheme="majorBidi" w:hAnsiTheme="majorBidi" w:cstheme="majorBidi"/>
                <w:sz w:val="32"/>
                <w:szCs w:val="32"/>
              </w:rPr>
            </w:pPr>
            <w:r>
              <w:rPr>
                <w:rFonts w:asciiTheme="majorBidi" w:hAnsiTheme="majorBidi" w:cstheme="majorBidi"/>
                <w:sz w:val="22"/>
                <w:szCs w:val="22"/>
              </w:rPr>
              <w:t>Nöhammer, Schorn &amp; Becker (2023)</w:t>
            </w:r>
          </w:p>
        </w:tc>
        <w:tc>
          <w:tcPr>
            <w:tcW w:w="2400" w:type="dxa"/>
            <w:tcMar>
              <w:top w:w="90" w:type="dxa"/>
              <w:left w:w="90" w:type="dxa"/>
              <w:bottom w:w="90" w:type="dxa"/>
              <w:right w:w="90" w:type="dxa"/>
            </w:tcMar>
          </w:tcPr>
          <w:p w14:paraId="4EE6DE4C">
            <w:pPr>
              <w:rPr>
                <w:rFonts w:asciiTheme="majorBidi" w:hAnsiTheme="majorBidi" w:cstheme="majorBidi"/>
                <w:sz w:val="32"/>
                <w:szCs w:val="32"/>
              </w:rPr>
            </w:pPr>
            <w:r>
              <w:rPr>
                <w:rFonts w:asciiTheme="majorBidi" w:hAnsiTheme="majorBidi" w:cstheme="majorBidi"/>
                <w:sz w:val="22"/>
                <w:szCs w:val="22"/>
              </w:rPr>
              <w:t>Conceptual</w:t>
            </w:r>
          </w:p>
        </w:tc>
        <w:tc>
          <w:tcPr>
            <w:tcW w:w="2750" w:type="dxa"/>
            <w:tcMar>
              <w:top w:w="90" w:type="dxa"/>
              <w:left w:w="90" w:type="dxa"/>
              <w:bottom w:w="90" w:type="dxa"/>
              <w:right w:w="90" w:type="dxa"/>
            </w:tcMar>
          </w:tcPr>
          <w:p w14:paraId="77C9645D">
            <w:pPr>
              <w:rPr>
                <w:rFonts w:asciiTheme="majorBidi" w:hAnsiTheme="majorBidi" w:cstheme="majorBidi"/>
                <w:sz w:val="32"/>
                <w:szCs w:val="32"/>
              </w:rPr>
            </w:pPr>
            <w:r>
              <w:rPr>
                <w:rFonts w:asciiTheme="majorBidi" w:hAnsiTheme="majorBidi" w:cstheme="majorBidi"/>
                <w:sz w:val="22"/>
                <w:szCs w:val="22"/>
              </w:rPr>
              <w:t>Crisis communication strategies must be optimized as a portfolio rather than a single response</w:t>
            </w:r>
          </w:p>
        </w:tc>
      </w:tr>
      <w:tr w14:paraId="297F9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76571663">
            <w:pPr>
              <w:rPr>
                <w:rFonts w:asciiTheme="majorBidi" w:hAnsiTheme="majorBidi" w:cstheme="majorBidi"/>
                <w:sz w:val="32"/>
                <w:szCs w:val="32"/>
              </w:rPr>
            </w:pPr>
            <w:r>
              <w:rPr>
                <w:rFonts w:asciiTheme="majorBidi" w:hAnsiTheme="majorBidi" w:cstheme="majorBidi"/>
                <w:sz w:val="22"/>
                <w:szCs w:val="22"/>
              </w:rPr>
              <w:t>Stakeholder-focused crisis case study</w:t>
            </w:r>
          </w:p>
        </w:tc>
        <w:tc>
          <w:tcPr>
            <w:tcW w:w="2600" w:type="dxa"/>
            <w:tcMar>
              <w:top w:w="90" w:type="dxa"/>
              <w:left w:w="90" w:type="dxa"/>
              <w:bottom w:w="90" w:type="dxa"/>
              <w:right w:w="90" w:type="dxa"/>
            </w:tcMar>
          </w:tcPr>
          <w:p w14:paraId="04742C2D">
            <w:pPr>
              <w:rPr>
                <w:rFonts w:asciiTheme="majorBidi" w:hAnsiTheme="majorBidi" w:cstheme="majorBidi"/>
                <w:sz w:val="32"/>
                <w:szCs w:val="32"/>
              </w:rPr>
            </w:pPr>
            <w:r>
              <w:rPr>
                <w:rFonts w:asciiTheme="majorBidi" w:hAnsiTheme="majorBidi" w:cstheme="majorBidi"/>
                <w:sz w:val="22"/>
                <w:szCs w:val="22"/>
              </w:rPr>
              <w:t>Marynissen &amp; Lauder (2020)</w:t>
            </w:r>
          </w:p>
        </w:tc>
        <w:tc>
          <w:tcPr>
            <w:tcW w:w="2400" w:type="dxa"/>
            <w:tcMar>
              <w:top w:w="90" w:type="dxa"/>
              <w:left w:w="90" w:type="dxa"/>
              <w:bottom w:w="90" w:type="dxa"/>
              <w:right w:w="90" w:type="dxa"/>
            </w:tcMar>
          </w:tcPr>
          <w:p w14:paraId="6A833E98">
            <w:pPr>
              <w:rPr>
                <w:rFonts w:asciiTheme="majorBidi" w:hAnsiTheme="majorBidi" w:cstheme="majorBidi"/>
                <w:sz w:val="32"/>
                <w:szCs w:val="32"/>
              </w:rPr>
            </w:pPr>
            <w:r>
              <w:rPr>
                <w:rFonts w:asciiTheme="majorBidi" w:hAnsiTheme="majorBidi" w:cstheme="majorBidi"/>
                <w:sz w:val="22"/>
                <w:szCs w:val="22"/>
              </w:rPr>
              <w:t>Brussels terror-attack case study</w:t>
            </w:r>
          </w:p>
        </w:tc>
        <w:tc>
          <w:tcPr>
            <w:tcW w:w="2750" w:type="dxa"/>
            <w:tcMar>
              <w:top w:w="90" w:type="dxa"/>
              <w:left w:w="90" w:type="dxa"/>
              <w:bottom w:w="90" w:type="dxa"/>
              <w:right w:w="90" w:type="dxa"/>
            </w:tcMar>
          </w:tcPr>
          <w:p w14:paraId="0052E23B">
            <w:pPr>
              <w:rPr>
                <w:rFonts w:asciiTheme="majorBidi" w:hAnsiTheme="majorBidi" w:cstheme="majorBidi"/>
                <w:sz w:val="32"/>
                <w:szCs w:val="32"/>
              </w:rPr>
            </w:pPr>
            <w:r>
              <w:rPr>
                <w:rFonts w:asciiTheme="majorBidi" w:hAnsiTheme="majorBidi" w:cstheme="majorBidi"/>
                <w:sz w:val="22"/>
                <w:szCs w:val="22"/>
              </w:rPr>
              <w:t>Demonstrates stakeholder-differentiated communication strategy during an acute crisis</w:t>
            </w:r>
          </w:p>
        </w:tc>
      </w:tr>
      <w:tr w14:paraId="69A43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2EA4347E">
            <w:pPr>
              <w:rPr>
                <w:rFonts w:asciiTheme="majorBidi" w:hAnsiTheme="majorBidi" w:cstheme="majorBidi"/>
                <w:sz w:val="32"/>
                <w:szCs w:val="32"/>
              </w:rPr>
            </w:pPr>
            <w:r>
              <w:rPr>
                <w:rFonts w:asciiTheme="majorBidi" w:hAnsiTheme="majorBidi" w:cstheme="majorBidi"/>
                <w:sz w:val="22"/>
                <w:szCs w:val="22"/>
              </w:rPr>
              <w:t>Humanitarian cybersecurity gap</w:t>
            </w:r>
          </w:p>
        </w:tc>
        <w:tc>
          <w:tcPr>
            <w:tcW w:w="2600" w:type="dxa"/>
            <w:tcMar>
              <w:top w:w="90" w:type="dxa"/>
              <w:left w:w="90" w:type="dxa"/>
              <w:bottom w:w="90" w:type="dxa"/>
              <w:right w:w="90" w:type="dxa"/>
            </w:tcMar>
          </w:tcPr>
          <w:p w14:paraId="2B65189A">
            <w:pPr>
              <w:rPr>
                <w:rFonts w:asciiTheme="majorBidi" w:hAnsiTheme="majorBidi" w:cstheme="majorBidi"/>
                <w:sz w:val="32"/>
                <w:szCs w:val="32"/>
              </w:rPr>
            </w:pPr>
            <w:r>
              <w:rPr>
                <w:rFonts w:asciiTheme="majorBidi" w:hAnsiTheme="majorBidi" w:cstheme="majorBidi"/>
                <w:sz w:val="22"/>
                <w:szCs w:val="22"/>
              </w:rPr>
              <w:t>Anfuso, Bartolucci, Del-Real &amp; Kuipers (2026)</w:t>
            </w:r>
          </w:p>
        </w:tc>
        <w:tc>
          <w:tcPr>
            <w:tcW w:w="2400" w:type="dxa"/>
            <w:tcMar>
              <w:top w:w="90" w:type="dxa"/>
              <w:left w:w="90" w:type="dxa"/>
              <w:bottom w:w="90" w:type="dxa"/>
              <w:right w:w="90" w:type="dxa"/>
            </w:tcMar>
          </w:tcPr>
          <w:p w14:paraId="735BFA48">
            <w:pPr>
              <w:rPr>
                <w:rFonts w:asciiTheme="majorBidi" w:hAnsiTheme="majorBidi" w:cstheme="majorBidi"/>
                <w:sz w:val="32"/>
                <w:szCs w:val="32"/>
              </w:rPr>
            </w:pPr>
            <w:r>
              <w:rPr>
                <w:rFonts w:asciiTheme="majorBidi" w:hAnsiTheme="majorBidi" w:cstheme="majorBidi"/>
                <w:sz w:val="22"/>
                <w:szCs w:val="22"/>
              </w:rPr>
              <w:t>PRISMA-ScR scoping review</w:t>
            </w:r>
          </w:p>
        </w:tc>
        <w:tc>
          <w:tcPr>
            <w:tcW w:w="2750" w:type="dxa"/>
            <w:tcMar>
              <w:top w:w="90" w:type="dxa"/>
              <w:left w:w="90" w:type="dxa"/>
              <w:bottom w:w="90" w:type="dxa"/>
              <w:right w:w="90" w:type="dxa"/>
            </w:tcMar>
          </w:tcPr>
          <w:p w14:paraId="202B06BA">
            <w:pPr>
              <w:rPr>
                <w:rFonts w:asciiTheme="majorBidi" w:hAnsiTheme="majorBidi" w:cstheme="majorBidi"/>
                <w:sz w:val="32"/>
                <w:szCs w:val="32"/>
              </w:rPr>
            </w:pPr>
            <w:r>
              <w:rPr>
                <w:rFonts w:asciiTheme="majorBidi" w:hAnsiTheme="majorBidi" w:cstheme="majorBidi"/>
                <w:sz w:val="22"/>
                <w:szCs w:val="22"/>
              </w:rPr>
              <w:t>Crisis communication is identified as an underexamined dimension of humanitarian-sector cybersecurity research</w:t>
            </w:r>
          </w:p>
        </w:tc>
      </w:tr>
      <w:tr w14:paraId="0DF6C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1DCC7447">
            <w:pPr>
              <w:rPr>
                <w:rFonts w:asciiTheme="majorBidi" w:hAnsiTheme="majorBidi" w:cstheme="majorBidi"/>
                <w:sz w:val="32"/>
                <w:szCs w:val="32"/>
              </w:rPr>
            </w:pPr>
            <w:r>
              <w:rPr>
                <w:rFonts w:asciiTheme="majorBidi" w:hAnsiTheme="majorBidi" w:cstheme="majorBidi"/>
                <w:sz w:val="22"/>
                <w:szCs w:val="22"/>
              </w:rPr>
              <w:t>Digital humanitarianism</w:t>
            </w:r>
          </w:p>
        </w:tc>
        <w:tc>
          <w:tcPr>
            <w:tcW w:w="2600" w:type="dxa"/>
            <w:tcMar>
              <w:top w:w="90" w:type="dxa"/>
              <w:left w:w="90" w:type="dxa"/>
              <w:bottom w:w="90" w:type="dxa"/>
              <w:right w:w="90" w:type="dxa"/>
            </w:tcMar>
          </w:tcPr>
          <w:p w14:paraId="10FC7B66">
            <w:pPr>
              <w:rPr>
                <w:rFonts w:asciiTheme="majorBidi" w:hAnsiTheme="majorBidi" w:cstheme="majorBidi"/>
                <w:sz w:val="32"/>
                <w:szCs w:val="32"/>
              </w:rPr>
            </w:pPr>
            <w:r>
              <w:rPr>
                <w:rFonts w:asciiTheme="majorBidi" w:hAnsiTheme="majorBidi" w:cstheme="majorBidi"/>
                <w:sz w:val="22"/>
                <w:szCs w:val="22"/>
              </w:rPr>
              <w:t>Aradau (2023)</w:t>
            </w:r>
          </w:p>
        </w:tc>
        <w:tc>
          <w:tcPr>
            <w:tcW w:w="2400" w:type="dxa"/>
            <w:tcMar>
              <w:top w:w="90" w:type="dxa"/>
              <w:left w:w="90" w:type="dxa"/>
              <w:bottom w:w="90" w:type="dxa"/>
              <w:right w:w="90" w:type="dxa"/>
            </w:tcMar>
          </w:tcPr>
          <w:p w14:paraId="49EA1E59">
            <w:pPr>
              <w:rPr>
                <w:rFonts w:asciiTheme="majorBidi" w:hAnsiTheme="majorBidi" w:cstheme="majorBidi"/>
                <w:sz w:val="32"/>
                <w:szCs w:val="32"/>
              </w:rPr>
            </w:pPr>
            <w:r>
              <w:rPr>
                <w:rFonts w:asciiTheme="majorBidi" w:hAnsiTheme="majorBidi" w:cstheme="majorBidi"/>
                <w:sz w:val="22"/>
                <w:szCs w:val="22"/>
              </w:rPr>
              <w:t>Critical/theoretical</w:t>
            </w:r>
          </w:p>
        </w:tc>
        <w:tc>
          <w:tcPr>
            <w:tcW w:w="2750" w:type="dxa"/>
            <w:tcMar>
              <w:top w:w="90" w:type="dxa"/>
              <w:left w:w="90" w:type="dxa"/>
              <w:bottom w:w="90" w:type="dxa"/>
              <w:right w:w="90" w:type="dxa"/>
            </w:tcMar>
          </w:tcPr>
          <w:p w14:paraId="082BF28C">
            <w:pPr>
              <w:rPr>
                <w:rFonts w:asciiTheme="majorBidi" w:hAnsiTheme="majorBidi" w:cstheme="majorBidi"/>
                <w:sz w:val="32"/>
                <w:szCs w:val="32"/>
              </w:rPr>
            </w:pPr>
            <w:r>
              <w:rPr>
                <w:rFonts w:asciiTheme="majorBidi" w:hAnsiTheme="majorBidi" w:cstheme="majorBidi"/>
                <w:sz w:val="22"/>
                <w:szCs w:val="22"/>
              </w:rPr>
              <w:t>Frames data collection as now central, not incidental, to humanitarian action - raising the stakes of any breach</w:t>
            </w:r>
          </w:p>
        </w:tc>
      </w:tr>
      <w:tr w14:paraId="1D641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5BC34C4A">
            <w:pPr>
              <w:rPr>
                <w:rFonts w:asciiTheme="majorBidi" w:hAnsiTheme="majorBidi" w:cstheme="majorBidi"/>
                <w:sz w:val="32"/>
                <w:szCs w:val="32"/>
              </w:rPr>
            </w:pPr>
            <w:r>
              <w:rPr>
                <w:rFonts w:asciiTheme="majorBidi" w:hAnsiTheme="majorBidi" w:cstheme="majorBidi"/>
                <w:sz w:val="22"/>
                <w:szCs w:val="22"/>
              </w:rPr>
              <w:t>Digital humanitarianism</w:t>
            </w:r>
          </w:p>
        </w:tc>
        <w:tc>
          <w:tcPr>
            <w:tcW w:w="2600" w:type="dxa"/>
            <w:tcMar>
              <w:top w:w="90" w:type="dxa"/>
              <w:left w:w="90" w:type="dxa"/>
              <w:bottom w:w="90" w:type="dxa"/>
              <w:right w:w="90" w:type="dxa"/>
            </w:tcMar>
          </w:tcPr>
          <w:p w14:paraId="4DB9A582">
            <w:pPr>
              <w:rPr>
                <w:rFonts w:asciiTheme="majorBidi" w:hAnsiTheme="majorBidi" w:cstheme="majorBidi"/>
                <w:sz w:val="32"/>
                <w:szCs w:val="32"/>
              </w:rPr>
            </w:pPr>
            <w:r>
              <w:rPr>
                <w:rFonts w:asciiTheme="majorBidi" w:hAnsiTheme="majorBidi" w:cstheme="majorBidi"/>
                <w:sz w:val="22"/>
                <w:szCs w:val="22"/>
              </w:rPr>
              <w:t>Masiero (2023)</w:t>
            </w:r>
          </w:p>
        </w:tc>
        <w:tc>
          <w:tcPr>
            <w:tcW w:w="2400" w:type="dxa"/>
            <w:tcMar>
              <w:top w:w="90" w:type="dxa"/>
              <w:left w:w="90" w:type="dxa"/>
              <w:bottom w:w="90" w:type="dxa"/>
              <w:right w:w="90" w:type="dxa"/>
            </w:tcMar>
          </w:tcPr>
          <w:p w14:paraId="68A7BBA6">
            <w:pPr>
              <w:rPr>
                <w:rFonts w:asciiTheme="majorBidi" w:hAnsiTheme="majorBidi" w:cstheme="majorBidi"/>
                <w:sz w:val="32"/>
                <w:szCs w:val="32"/>
              </w:rPr>
            </w:pPr>
            <w:r>
              <w:rPr>
                <w:rFonts w:asciiTheme="majorBidi" w:hAnsiTheme="majorBidi" w:cstheme="majorBidi"/>
                <w:sz w:val="22"/>
                <w:szCs w:val="22"/>
              </w:rPr>
              <w:t>Critical discourse analysis</w:t>
            </w:r>
          </w:p>
        </w:tc>
        <w:tc>
          <w:tcPr>
            <w:tcW w:w="2750" w:type="dxa"/>
            <w:tcMar>
              <w:top w:w="90" w:type="dxa"/>
              <w:left w:w="90" w:type="dxa"/>
              <w:bottom w:w="90" w:type="dxa"/>
              <w:right w:w="90" w:type="dxa"/>
            </w:tcMar>
          </w:tcPr>
          <w:p w14:paraId="05B03A2A">
            <w:pPr>
              <w:rPr>
                <w:rFonts w:asciiTheme="majorBidi" w:hAnsiTheme="majorBidi" w:cstheme="majorBidi"/>
                <w:sz w:val="32"/>
                <w:szCs w:val="32"/>
              </w:rPr>
            </w:pPr>
            <w:r>
              <w:rPr>
                <w:rFonts w:asciiTheme="majorBidi" w:hAnsiTheme="majorBidi" w:cstheme="majorBidi"/>
                <w:sz w:val="22"/>
                <w:szCs w:val="22"/>
              </w:rPr>
              <w:t>Documents surveillance risks associated with digitized humanitarian beneficiary systems</w:t>
            </w:r>
          </w:p>
        </w:tc>
      </w:tr>
      <w:tr w14:paraId="7CDEE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2A348BB7">
            <w:pPr>
              <w:rPr>
                <w:rFonts w:asciiTheme="majorBidi" w:hAnsiTheme="majorBidi" w:cstheme="majorBidi"/>
                <w:sz w:val="32"/>
                <w:szCs w:val="32"/>
              </w:rPr>
            </w:pPr>
            <w:r>
              <w:rPr>
                <w:rFonts w:asciiTheme="majorBidi" w:hAnsiTheme="majorBidi" w:cstheme="majorBidi"/>
                <w:sz w:val="22"/>
                <w:szCs w:val="22"/>
              </w:rPr>
              <w:t>Digital humanitarianism</w:t>
            </w:r>
          </w:p>
        </w:tc>
        <w:tc>
          <w:tcPr>
            <w:tcW w:w="2600" w:type="dxa"/>
            <w:tcMar>
              <w:top w:w="90" w:type="dxa"/>
              <w:left w:w="90" w:type="dxa"/>
              <w:bottom w:w="90" w:type="dxa"/>
              <w:right w:w="90" w:type="dxa"/>
            </w:tcMar>
          </w:tcPr>
          <w:p w14:paraId="735E21A0">
            <w:pPr>
              <w:rPr>
                <w:rFonts w:asciiTheme="majorBidi" w:hAnsiTheme="majorBidi" w:cstheme="majorBidi"/>
                <w:sz w:val="32"/>
                <w:szCs w:val="32"/>
              </w:rPr>
            </w:pPr>
            <w:r>
              <w:rPr>
                <w:rFonts w:asciiTheme="majorBidi" w:hAnsiTheme="majorBidi" w:cstheme="majorBidi"/>
                <w:sz w:val="22"/>
                <w:szCs w:val="22"/>
              </w:rPr>
              <w:t>Bruder &amp; Baar (2024)</w:t>
            </w:r>
          </w:p>
        </w:tc>
        <w:tc>
          <w:tcPr>
            <w:tcW w:w="2400" w:type="dxa"/>
            <w:tcMar>
              <w:top w:w="90" w:type="dxa"/>
              <w:left w:w="90" w:type="dxa"/>
              <w:bottom w:w="90" w:type="dxa"/>
              <w:right w:w="90" w:type="dxa"/>
            </w:tcMar>
          </w:tcPr>
          <w:p w14:paraId="61B037B1">
            <w:pPr>
              <w:rPr>
                <w:rFonts w:asciiTheme="majorBidi" w:hAnsiTheme="majorBidi" w:cstheme="majorBidi"/>
                <w:sz w:val="32"/>
                <w:szCs w:val="32"/>
              </w:rPr>
            </w:pPr>
            <w:r>
              <w:rPr>
                <w:rFonts w:asciiTheme="majorBidi" w:hAnsiTheme="majorBidi" w:cstheme="majorBidi"/>
                <w:sz w:val="22"/>
                <w:szCs w:val="22"/>
              </w:rPr>
              <w:t>Systematic literature review</w:t>
            </w:r>
          </w:p>
        </w:tc>
        <w:tc>
          <w:tcPr>
            <w:tcW w:w="2750" w:type="dxa"/>
            <w:tcMar>
              <w:top w:w="90" w:type="dxa"/>
              <w:left w:w="90" w:type="dxa"/>
              <w:bottom w:w="90" w:type="dxa"/>
              <w:right w:w="90" w:type="dxa"/>
            </w:tcMar>
          </w:tcPr>
          <w:p w14:paraId="058EFB39">
            <w:pPr>
              <w:rPr>
                <w:rFonts w:asciiTheme="majorBidi" w:hAnsiTheme="majorBidi" w:cstheme="majorBidi"/>
                <w:sz w:val="32"/>
                <w:szCs w:val="32"/>
              </w:rPr>
            </w:pPr>
            <w:r>
              <w:rPr>
                <w:rFonts w:asciiTheme="majorBidi" w:hAnsiTheme="majorBidi" w:cstheme="majorBidi"/>
                <w:sz w:val="22"/>
                <w:szCs w:val="22"/>
              </w:rPr>
              <w:t>Reviews innovation (including digital/data) trends across humanitarian assistance</w:t>
            </w:r>
          </w:p>
        </w:tc>
      </w:tr>
      <w:tr w14:paraId="7DCBB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6568CCD9">
            <w:pPr>
              <w:rPr>
                <w:rFonts w:asciiTheme="majorBidi" w:hAnsiTheme="majorBidi" w:cstheme="majorBidi"/>
                <w:sz w:val="32"/>
                <w:szCs w:val="32"/>
              </w:rPr>
            </w:pPr>
            <w:r>
              <w:rPr>
                <w:rFonts w:asciiTheme="majorBidi" w:hAnsiTheme="majorBidi" w:cstheme="majorBidi"/>
                <w:sz w:val="22"/>
                <w:szCs w:val="22"/>
              </w:rPr>
              <w:t>Humanitarian data governance/ethics</w:t>
            </w:r>
          </w:p>
        </w:tc>
        <w:tc>
          <w:tcPr>
            <w:tcW w:w="2600" w:type="dxa"/>
            <w:tcMar>
              <w:top w:w="90" w:type="dxa"/>
              <w:left w:w="90" w:type="dxa"/>
              <w:bottom w:w="90" w:type="dxa"/>
              <w:right w:w="90" w:type="dxa"/>
            </w:tcMar>
          </w:tcPr>
          <w:p w14:paraId="5FE78786">
            <w:pPr>
              <w:rPr>
                <w:rFonts w:asciiTheme="majorBidi" w:hAnsiTheme="majorBidi" w:cstheme="majorBidi"/>
                <w:sz w:val="32"/>
                <w:szCs w:val="32"/>
              </w:rPr>
            </w:pPr>
            <w:r>
              <w:rPr>
                <w:rFonts w:asciiTheme="majorBidi" w:hAnsiTheme="majorBidi" w:cstheme="majorBidi"/>
                <w:sz w:val="22"/>
                <w:szCs w:val="22"/>
              </w:rPr>
              <w:t>Fast (2023)</w:t>
            </w:r>
          </w:p>
        </w:tc>
        <w:tc>
          <w:tcPr>
            <w:tcW w:w="2400" w:type="dxa"/>
            <w:tcMar>
              <w:top w:w="90" w:type="dxa"/>
              <w:left w:w="90" w:type="dxa"/>
              <w:bottom w:w="90" w:type="dxa"/>
              <w:right w:w="90" w:type="dxa"/>
            </w:tcMar>
          </w:tcPr>
          <w:p w14:paraId="141A3AB4">
            <w:pPr>
              <w:rPr>
                <w:rFonts w:asciiTheme="majorBidi" w:hAnsiTheme="majorBidi" w:cstheme="majorBidi"/>
                <w:sz w:val="32"/>
                <w:szCs w:val="32"/>
              </w:rPr>
            </w:pPr>
            <w:r>
              <w:rPr>
                <w:rFonts w:asciiTheme="majorBidi" w:hAnsiTheme="majorBidi" w:cstheme="majorBidi"/>
                <w:sz w:val="22"/>
                <w:szCs w:val="22"/>
              </w:rPr>
              <w:t>Conceptual, humanitarian health data</w:t>
            </w:r>
          </w:p>
        </w:tc>
        <w:tc>
          <w:tcPr>
            <w:tcW w:w="2750" w:type="dxa"/>
            <w:tcMar>
              <w:top w:w="90" w:type="dxa"/>
              <w:left w:w="90" w:type="dxa"/>
              <w:bottom w:w="90" w:type="dxa"/>
              <w:right w:w="90" w:type="dxa"/>
            </w:tcMar>
          </w:tcPr>
          <w:p w14:paraId="079B66A5">
            <w:pPr>
              <w:rPr>
                <w:rFonts w:asciiTheme="majorBidi" w:hAnsiTheme="majorBidi" w:cstheme="majorBidi"/>
                <w:sz w:val="32"/>
                <w:szCs w:val="32"/>
              </w:rPr>
            </w:pPr>
            <w:r>
              <w:rPr>
                <w:rFonts w:asciiTheme="majorBidi" w:hAnsiTheme="majorBidi" w:cstheme="majorBidi"/>
                <w:sz w:val="22"/>
                <w:szCs w:val="22"/>
              </w:rPr>
              <w:t>Frames data governance in humanitarian delivery as a matter of relationships, trust, and ethics, not compliance alone</w:t>
            </w:r>
          </w:p>
        </w:tc>
      </w:tr>
      <w:tr w14:paraId="730AA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49905826">
            <w:pPr>
              <w:rPr>
                <w:rFonts w:asciiTheme="majorBidi" w:hAnsiTheme="majorBidi" w:cstheme="majorBidi"/>
                <w:sz w:val="32"/>
                <w:szCs w:val="32"/>
              </w:rPr>
            </w:pPr>
            <w:r>
              <w:rPr>
                <w:rFonts w:asciiTheme="majorBidi" w:hAnsiTheme="majorBidi" w:cstheme="majorBidi"/>
                <w:sz w:val="22"/>
                <w:szCs w:val="22"/>
              </w:rPr>
              <w:t>Humanitarian data governance/ethics</w:t>
            </w:r>
          </w:p>
        </w:tc>
        <w:tc>
          <w:tcPr>
            <w:tcW w:w="2600" w:type="dxa"/>
            <w:tcMar>
              <w:top w:w="90" w:type="dxa"/>
              <w:left w:w="90" w:type="dxa"/>
              <w:bottom w:w="90" w:type="dxa"/>
              <w:right w:w="90" w:type="dxa"/>
            </w:tcMar>
          </w:tcPr>
          <w:p w14:paraId="5166BB60">
            <w:pPr>
              <w:rPr>
                <w:rFonts w:asciiTheme="majorBidi" w:hAnsiTheme="majorBidi" w:cstheme="majorBidi"/>
                <w:sz w:val="32"/>
                <w:szCs w:val="32"/>
              </w:rPr>
            </w:pPr>
            <w:r>
              <w:rPr>
                <w:rFonts w:asciiTheme="majorBidi" w:hAnsiTheme="majorBidi" w:cstheme="majorBidi"/>
                <w:sz w:val="22"/>
                <w:szCs w:val="22"/>
              </w:rPr>
              <w:t>Lidén (2026)</w:t>
            </w:r>
          </w:p>
        </w:tc>
        <w:tc>
          <w:tcPr>
            <w:tcW w:w="2400" w:type="dxa"/>
            <w:tcMar>
              <w:top w:w="90" w:type="dxa"/>
              <w:left w:w="90" w:type="dxa"/>
              <w:bottom w:w="90" w:type="dxa"/>
              <w:right w:w="90" w:type="dxa"/>
            </w:tcMar>
          </w:tcPr>
          <w:p w14:paraId="08AE29AB">
            <w:pPr>
              <w:rPr>
                <w:rFonts w:asciiTheme="majorBidi" w:hAnsiTheme="majorBidi" w:cstheme="majorBidi"/>
                <w:sz w:val="32"/>
                <w:szCs w:val="32"/>
              </w:rPr>
            </w:pPr>
            <w:r>
              <w:rPr>
                <w:rFonts w:asciiTheme="majorBidi" w:hAnsiTheme="majorBidi" w:cstheme="majorBidi"/>
                <w:sz w:val="22"/>
                <w:szCs w:val="22"/>
              </w:rPr>
              <w:t>Conceptual/governance</w:t>
            </w:r>
          </w:p>
        </w:tc>
        <w:tc>
          <w:tcPr>
            <w:tcW w:w="2750" w:type="dxa"/>
            <w:tcMar>
              <w:top w:w="90" w:type="dxa"/>
              <w:left w:w="90" w:type="dxa"/>
              <w:bottom w:w="90" w:type="dxa"/>
              <w:right w:w="90" w:type="dxa"/>
            </w:tcMar>
          </w:tcPr>
          <w:p w14:paraId="0496EDA6">
            <w:pPr>
              <w:rPr>
                <w:rFonts w:asciiTheme="majorBidi" w:hAnsiTheme="majorBidi" w:cstheme="majorBidi"/>
                <w:sz w:val="32"/>
                <w:szCs w:val="32"/>
              </w:rPr>
            </w:pPr>
            <w:r>
              <w:rPr>
                <w:rFonts w:asciiTheme="majorBidi" w:hAnsiTheme="majorBidi" w:cstheme="majorBidi"/>
                <w:sz w:val="22"/>
                <w:szCs w:val="22"/>
              </w:rPr>
              <w:t>Examines ethical self-regulation versus stronger legal/political control of humanitarian data governance</w:t>
            </w:r>
          </w:p>
        </w:tc>
      </w:tr>
      <w:tr w14:paraId="4A460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0654B287">
            <w:pPr>
              <w:rPr>
                <w:rFonts w:asciiTheme="majorBidi" w:hAnsiTheme="majorBidi" w:cstheme="majorBidi"/>
                <w:sz w:val="32"/>
                <w:szCs w:val="32"/>
              </w:rPr>
            </w:pPr>
            <w:r>
              <w:rPr>
                <w:rFonts w:asciiTheme="majorBidi" w:hAnsiTheme="majorBidi" w:cstheme="majorBidi"/>
                <w:sz w:val="22"/>
                <w:szCs w:val="22"/>
              </w:rPr>
              <w:t>Humanitarian information sharing</w:t>
            </w:r>
          </w:p>
        </w:tc>
        <w:tc>
          <w:tcPr>
            <w:tcW w:w="2600" w:type="dxa"/>
            <w:tcMar>
              <w:top w:w="90" w:type="dxa"/>
              <w:left w:w="90" w:type="dxa"/>
              <w:bottom w:w="90" w:type="dxa"/>
              <w:right w:w="90" w:type="dxa"/>
            </w:tcMar>
          </w:tcPr>
          <w:p w14:paraId="5EDB8373">
            <w:pPr>
              <w:rPr>
                <w:rFonts w:asciiTheme="majorBidi" w:hAnsiTheme="majorBidi" w:cstheme="majorBidi"/>
                <w:sz w:val="32"/>
                <w:szCs w:val="32"/>
              </w:rPr>
            </w:pPr>
            <w:r>
              <w:rPr>
                <w:rFonts w:asciiTheme="majorBidi" w:hAnsiTheme="majorBidi" w:cstheme="majorBidi"/>
                <w:sz w:val="22"/>
                <w:szCs w:val="22"/>
              </w:rPr>
              <w:t>Nair, Attal-Juncqua, Reddy, Sorrell &amp; Standley (2022)</w:t>
            </w:r>
          </w:p>
        </w:tc>
        <w:tc>
          <w:tcPr>
            <w:tcW w:w="2400" w:type="dxa"/>
            <w:tcMar>
              <w:top w:w="90" w:type="dxa"/>
              <w:left w:w="90" w:type="dxa"/>
              <w:bottom w:w="90" w:type="dxa"/>
              <w:right w:w="90" w:type="dxa"/>
            </w:tcMar>
          </w:tcPr>
          <w:p w14:paraId="48042D48">
            <w:pPr>
              <w:rPr>
                <w:rFonts w:asciiTheme="majorBidi" w:hAnsiTheme="majorBidi" w:cstheme="majorBidi"/>
                <w:sz w:val="32"/>
                <w:szCs w:val="32"/>
              </w:rPr>
            </w:pPr>
            <w:r>
              <w:rPr>
                <w:rFonts w:asciiTheme="majorBidi" w:hAnsiTheme="majorBidi" w:cstheme="majorBidi"/>
                <w:sz w:val="22"/>
                <w:szCs w:val="22"/>
              </w:rPr>
              <w:t>Mixed-methods</w:t>
            </w:r>
          </w:p>
        </w:tc>
        <w:tc>
          <w:tcPr>
            <w:tcW w:w="2750" w:type="dxa"/>
            <w:tcMar>
              <w:top w:w="90" w:type="dxa"/>
              <w:left w:w="90" w:type="dxa"/>
              <w:bottom w:w="90" w:type="dxa"/>
              <w:right w:w="90" w:type="dxa"/>
            </w:tcMar>
          </w:tcPr>
          <w:p w14:paraId="0F32BFC0">
            <w:pPr>
              <w:rPr>
                <w:rFonts w:asciiTheme="majorBidi" w:hAnsiTheme="majorBidi" w:cstheme="majorBidi"/>
                <w:sz w:val="32"/>
                <w:szCs w:val="32"/>
              </w:rPr>
            </w:pPr>
            <w:r>
              <w:rPr>
                <w:rFonts w:asciiTheme="majorBidi" w:hAnsiTheme="majorBidi" w:cstheme="majorBidi"/>
                <w:sz w:val="22"/>
                <w:szCs w:val="22"/>
              </w:rPr>
              <w:t>Identifies barriers and opportunities in humanitarian health information-sharing systems</w:t>
            </w:r>
          </w:p>
        </w:tc>
      </w:tr>
      <w:tr w14:paraId="75596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1A5B6EC9">
            <w:pPr>
              <w:rPr>
                <w:rFonts w:asciiTheme="majorBidi" w:hAnsiTheme="majorBidi" w:cstheme="majorBidi"/>
                <w:sz w:val="32"/>
                <w:szCs w:val="32"/>
              </w:rPr>
            </w:pPr>
            <w:r>
              <w:rPr>
                <w:rFonts w:asciiTheme="majorBidi" w:hAnsiTheme="majorBidi" w:cstheme="majorBidi"/>
                <w:sz w:val="22"/>
                <w:szCs w:val="22"/>
              </w:rPr>
              <w:t>Privacy in crisis communication</w:t>
            </w:r>
          </w:p>
        </w:tc>
        <w:tc>
          <w:tcPr>
            <w:tcW w:w="2600" w:type="dxa"/>
            <w:tcMar>
              <w:top w:w="90" w:type="dxa"/>
              <w:left w:w="90" w:type="dxa"/>
              <w:bottom w:w="90" w:type="dxa"/>
              <w:right w:w="90" w:type="dxa"/>
            </w:tcMar>
          </w:tcPr>
          <w:p w14:paraId="1FC499BD">
            <w:pPr>
              <w:rPr>
                <w:rFonts w:asciiTheme="majorBidi" w:hAnsiTheme="majorBidi" w:cstheme="majorBidi"/>
                <w:sz w:val="32"/>
                <w:szCs w:val="32"/>
              </w:rPr>
            </w:pPr>
            <w:r>
              <w:rPr>
                <w:rFonts w:asciiTheme="majorBidi" w:hAnsiTheme="majorBidi" w:cstheme="majorBidi"/>
                <w:sz w:val="22"/>
                <w:szCs w:val="22"/>
              </w:rPr>
              <w:t>Watson &amp; Rodrigues (2017)</w:t>
            </w:r>
          </w:p>
        </w:tc>
        <w:tc>
          <w:tcPr>
            <w:tcW w:w="2400" w:type="dxa"/>
            <w:tcMar>
              <w:top w:w="90" w:type="dxa"/>
              <w:left w:w="90" w:type="dxa"/>
              <w:bottom w:w="90" w:type="dxa"/>
              <w:right w:w="90" w:type="dxa"/>
            </w:tcMar>
          </w:tcPr>
          <w:p w14:paraId="0D0C7A93">
            <w:pPr>
              <w:rPr>
                <w:rFonts w:asciiTheme="majorBidi" w:hAnsiTheme="majorBidi" w:cstheme="majorBidi"/>
                <w:sz w:val="32"/>
                <w:szCs w:val="32"/>
              </w:rPr>
            </w:pPr>
            <w:r>
              <w:rPr>
                <w:rFonts w:asciiTheme="majorBidi" w:hAnsiTheme="majorBidi" w:cstheme="majorBidi"/>
                <w:sz w:val="22"/>
                <w:szCs w:val="22"/>
              </w:rPr>
              <w:t>Conceptual</w:t>
            </w:r>
          </w:p>
        </w:tc>
        <w:tc>
          <w:tcPr>
            <w:tcW w:w="2750" w:type="dxa"/>
            <w:tcMar>
              <w:top w:w="90" w:type="dxa"/>
              <w:left w:w="90" w:type="dxa"/>
              <w:bottom w:w="90" w:type="dxa"/>
              <w:right w:w="90" w:type="dxa"/>
            </w:tcMar>
          </w:tcPr>
          <w:p w14:paraId="5617DA91">
            <w:pPr>
              <w:rPr>
                <w:rFonts w:asciiTheme="majorBidi" w:hAnsiTheme="majorBidi" w:cstheme="majorBidi"/>
                <w:sz w:val="32"/>
                <w:szCs w:val="32"/>
              </w:rPr>
            </w:pPr>
            <w:r>
              <w:rPr>
                <w:rFonts w:asciiTheme="majorBidi" w:hAnsiTheme="majorBidi" w:cstheme="majorBidi"/>
                <w:sz w:val="22"/>
                <w:szCs w:val="22"/>
              </w:rPr>
              <w:t>Argues privacy considerations are frequently absent from crisis-management communication research</w:t>
            </w:r>
          </w:p>
        </w:tc>
      </w:tr>
      <w:tr w14:paraId="78FED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2D132646">
            <w:pPr>
              <w:rPr>
                <w:rFonts w:asciiTheme="majorBidi" w:hAnsiTheme="majorBidi" w:cstheme="majorBidi"/>
                <w:sz w:val="32"/>
                <w:szCs w:val="32"/>
              </w:rPr>
            </w:pPr>
            <w:r>
              <w:rPr>
                <w:rFonts w:asciiTheme="majorBidi" w:hAnsiTheme="majorBidi" w:cstheme="majorBidi"/>
                <w:sz w:val="22"/>
                <w:szCs w:val="22"/>
              </w:rPr>
              <w:t>Data-breach privacy law</w:t>
            </w:r>
          </w:p>
        </w:tc>
        <w:tc>
          <w:tcPr>
            <w:tcW w:w="2600" w:type="dxa"/>
            <w:tcMar>
              <w:top w:w="90" w:type="dxa"/>
              <w:left w:w="90" w:type="dxa"/>
              <w:bottom w:w="90" w:type="dxa"/>
              <w:right w:w="90" w:type="dxa"/>
            </w:tcMar>
          </w:tcPr>
          <w:p w14:paraId="77281C3F">
            <w:pPr>
              <w:rPr>
                <w:rFonts w:asciiTheme="majorBidi" w:hAnsiTheme="majorBidi" w:cstheme="majorBidi"/>
                <w:sz w:val="32"/>
                <w:szCs w:val="32"/>
              </w:rPr>
            </w:pPr>
            <w:r>
              <w:rPr>
                <w:rFonts w:asciiTheme="majorBidi" w:hAnsiTheme="majorBidi" w:cstheme="majorBidi"/>
                <w:sz w:val="22"/>
                <w:szCs w:val="22"/>
              </w:rPr>
              <w:t>Mills (2017)</w:t>
            </w:r>
          </w:p>
        </w:tc>
        <w:tc>
          <w:tcPr>
            <w:tcW w:w="2400" w:type="dxa"/>
            <w:tcMar>
              <w:top w:w="90" w:type="dxa"/>
              <w:left w:w="90" w:type="dxa"/>
              <w:bottom w:w="90" w:type="dxa"/>
              <w:right w:w="90" w:type="dxa"/>
            </w:tcMar>
          </w:tcPr>
          <w:p w14:paraId="39D9F6D3">
            <w:pPr>
              <w:rPr>
                <w:rFonts w:asciiTheme="majorBidi" w:hAnsiTheme="majorBidi" w:cstheme="majorBidi"/>
                <w:sz w:val="32"/>
                <w:szCs w:val="32"/>
              </w:rPr>
            </w:pPr>
            <w:r>
              <w:rPr>
                <w:rFonts w:asciiTheme="majorBidi" w:hAnsiTheme="majorBidi" w:cstheme="majorBidi"/>
                <w:sz w:val="22"/>
                <w:szCs w:val="22"/>
              </w:rPr>
              <w:t>Legal analysis</w:t>
            </w:r>
          </w:p>
        </w:tc>
        <w:tc>
          <w:tcPr>
            <w:tcW w:w="2750" w:type="dxa"/>
            <w:tcMar>
              <w:top w:w="90" w:type="dxa"/>
              <w:left w:w="90" w:type="dxa"/>
              <w:bottom w:w="90" w:type="dxa"/>
              <w:right w:w="90" w:type="dxa"/>
            </w:tcMar>
          </w:tcPr>
          <w:p w14:paraId="03601E52">
            <w:pPr>
              <w:rPr>
                <w:rFonts w:asciiTheme="majorBidi" w:hAnsiTheme="majorBidi" w:cstheme="majorBidi"/>
                <w:sz w:val="32"/>
                <w:szCs w:val="32"/>
              </w:rPr>
            </w:pPr>
            <w:r>
              <w:rPr>
                <w:rFonts w:asciiTheme="majorBidi" w:hAnsiTheme="majorBidi" w:cstheme="majorBidi"/>
                <w:sz w:val="22"/>
                <w:szCs w:val="22"/>
              </w:rPr>
              <w:t>Frames data breaches as a mass-intrusion harm distinct from traditional privacy-tort conceptions</w:t>
            </w:r>
          </w:p>
        </w:tc>
      </w:tr>
    </w:tbl>
    <w:p w14:paraId="240FBC2F">
      <w:pPr>
        <w:spacing w:before="60" w:after="180"/>
      </w:pPr>
      <w:r>
        <w:rPr>
          <w:i/>
          <w:sz w:val="18"/>
        </w:rPr>
        <w:t>Source: Author's own synthesis of the sources discussed in Section 7.1; full citations appear in the References.</w:t>
      </w:r>
    </w:p>
    <w:p w14:paraId="29A5DF9D">
      <w:pPr>
        <w:spacing w:after="200" w:line="360" w:lineRule="auto"/>
        <w:jc w:val="both"/>
        <w:rPr>
          <w:rFonts w:asciiTheme="majorBidi" w:hAnsiTheme="majorBidi" w:cstheme="majorBidi"/>
          <w:sz w:val="32"/>
          <w:szCs w:val="32"/>
        </w:rPr>
      </w:pPr>
      <w:r>
        <w:rPr>
          <w:rFonts w:asciiTheme="majorBidi" w:hAnsiTheme="majorBidi" w:cstheme="majorBidi"/>
          <w:sz w:val="32"/>
          <w:szCs w:val="32"/>
        </w:rPr>
        <w:t xml:space="preserve"> </w:t>
      </w:r>
    </w:p>
    <w:p w14:paraId="0488D370">
      <w:pPr>
        <w:spacing w:after="200" w:line="360" w:lineRule="auto"/>
        <w:jc w:val="both"/>
        <w:rPr>
          <w:rFonts w:asciiTheme="majorBidi" w:hAnsiTheme="majorBidi" w:cstheme="majorBidi"/>
          <w:sz w:val="32"/>
          <w:szCs w:val="32"/>
        </w:rPr>
      </w:pPr>
      <w:r>
        <w:rPr>
          <w:rFonts w:asciiTheme="majorBidi" w:hAnsiTheme="majorBidi" w:cstheme="majorBidi"/>
          <w:sz w:val="32"/>
          <w:szCs w:val="32"/>
        </w:rPr>
        <w:t>This review draws on 23 sources discussed above, within a reference list of ~35 verified sources. Coverage is uneven: SCCT, data-breach communication, IRT, trust repair, digital humanitarianism, and humanitarian data governance are each multiply represented; conflict-sensitive communication specifically remains unrepresented by a source meeting this study's verification standard, and is noted as a gap rather than filled with an unverified citation.</w:t>
      </w:r>
    </w:p>
    <w:p w14:paraId="0FA0128B">
      <w:pPr>
        <w:pStyle w:val="2"/>
        <w:spacing w:before="360" w:after="160"/>
        <w:rPr>
          <w:rFonts w:asciiTheme="majorBidi" w:hAnsiTheme="majorBidi" w:cstheme="majorBidi"/>
          <w:sz w:val="40"/>
          <w:szCs w:val="40"/>
        </w:rPr>
      </w:pPr>
      <w:r>
        <w:rPr>
          <w:rFonts w:asciiTheme="majorBidi" w:hAnsiTheme="majorBidi" w:cstheme="majorBidi"/>
          <w:b/>
          <w:bCs/>
          <w:sz w:val="36"/>
          <w:szCs w:val="36"/>
        </w:rPr>
        <w:t>8. Theoretical Framework</w:t>
      </w:r>
    </w:p>
    <w:p w14:paraId="0538CCC6">
      <w:pPr>
        <w:spacing w:after="200" w:line="360" w:lineRule="auto"/>
        <w:jc w:val="both"/>
        <w:rPr>
          <w:rFonts w:hint="cs" w:asciiTheme="majorBidi" w:hAnsiTheme="majorBidi" w:cstheme="majorBidi"/>
          <w:sz w:val="32"/>
          <w:szCs w:val="32"/>
          <w:rtl/>
        </w:rPr>
      </w:pPr>
      <w:r>
        <w:rPr>
          <w:rFonts w:asciiTheme="majorBidi" w:hAnsiTheme="majorBidi" w:cstheme="majorBidi"/>
          <w:sz w:val="32"/>
          <w:szCs w:val="32"/>
        </w:rPr>
        <w:t>This study engages SCCT and IRT critically rather than adopting either as a predetermined lens, consistent with an inductive, theme-first coding approach. Both theories share a premise that crisis communication is strategically oriented toward image protection; SCCT calibrates response to crisis type and attributed responsibility, while IRT offers finer-grained rhetorical categories. Following the coding principle applied throughout this study, themes were allowed to emerge from the ICRC and WFP corpora before being mapped onto SCCT and IRT categories in the Discussion. Table 3 (Theoretical Construct Synthesis) below makes this mapping explicit construct-by-construct, distinguishing what each theory contributes from what neither theory was built to explain.</w:t>
      </w:r>
    </w:p>
    <w:p w14:paraId="0F974CED">
      <w:pPr>
        <w:spacing w:after="200" w:line="360" w:lineRule="auto"/>
        <w:jc w:val="both"/>
        <w:rPr>
          <w:rFonts w:hint="cs" w:asciiTheme="majorBidi" w:hAnsiTheme="majorBidi" w:cstheme="majorBidi"/>
          <w:sz w:val="32"/>
          <w:szCs w:val="32"/>
          <w:rtl/>
        </w:rPr>
      </w:pPr>
    </w:p>
    <w:p w14:paraId="569B0ABD">
      <w:pPr>
        <w:spacing w:after="200" w:line="360" w:lineRule="auto"/>
        <w:jc w:val="both"/>
        <w:rPr>
          <w:rFonts w:asciiTheme="majorBidi" w:hAnsiTheme="majorBidi" w:cstheme="majorBidi"/>
          <w:sz w:val="32"/>
          <w:szCs w:val="32"/>
        </w:rPr>
      </w:pPr>
      <w:r>
        <w:rPr>
          <w:rFonts w:asciiTheme="majorBidi" w:hAnsiTheme="majorBidi" w:cstheme="majorBidi"/>
          <w:sz w:val="32"/>
          <w:szCs w:val="32"/>
        </w:rPr>
        <w:drawing>
          <wp:inline distT="0" distB="0" distL="0" distR="0">
            <wp:extent cx="5943600" cy="3253740"/>
            <wp:effectExtent l="0" t="0" r="0" b="3810"/>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صورة 8"/>
                    <pic:cNvPicPr>
                      <a:picLocks noChangeAspect="1"/>
                    </pic:cNvPicPr>
                  </pic:nvPicPr>
                  <pic:blipFill>
                    <a:blip r:embed="rId4" cstate="print">
                      <a:extLst>
                        <a:ext uri="{28A0092B-C50C-407E-A947-70E740481C1C}">
                          <a14:useLocalDpi xmlns:a14="http://schemas.microsoft.com/office/drawing/2010/main" val="0"/>
                        </a:ext>
                      </a:extLst>
                    </a:blip>
                    <a:srcRect l="-1" r="-77" b="1840"/>
                    <a:stretch>
                      <a:fillRect/>
                    </a:stretch>
                  </pic:blipFill>
                  <pic:spPr>
                    <a:xfrm>
                      <a:off x="0" y="0"/>
                      <a:ext cx="5948154" cy="3256233"/>
                    </a:xfrm>
                    <a:prstGeom prst="rect">
                      <a:avLst/>
                    </a:prstGeom>
                    <a:ln>
                      <a:noFill/>
                    </a:ln>
                  </pic:spPr>
                </pic:pic>
              </a:graphicData>
            </a:graphic>
          </wp:inline>
        </w:drawing>
      </w:r>
    </w:p>
    <w:p w14:paraId="39B4087B">
      <w:pPr>
        <w:spacing w:before="180" w:after="60"/>
      </w:pPr>
      <w:r>
        <w:rPr>
          <w:b/>
          <w:sz w:val="20"/>
        </w:rPr>
        <w:t>Table 3. Theoretical Construct Synthesis (SCCT, IRT, and Humanitarian Implications)</w:t>
      </w:r>
    </w:p>
    <w:tbl>
      <w:tblPr>
        <w:tblStyle w:val="9"/>
        <w:tblW w:w="8900" w:type="dxa"/>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82"/>
        <w:gridCol w:w="1472"/>
        <w:gridCol w:w="1480"/>
        <w:gridCol w:w="1958"/>
        <w:gridCol w:w="1708"/>
      </w:tblGrid>
      <w:tr w14:paraId="3321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shd w:val="clear" w:color="auto" w:fill="D9E2F3"/>
            <w:tcMar>
              <w:top w:w="90" w:type="dxa"/>
              <w:left w:w="90" w:type="dxa"/>
              <w:bottom w:w="90" w:type="dxa"/>
              <w:right w:w="90" w:type="dxa"/>
            </w:tcMar>
          </w:tcPr>
          <w:p w14:paraId="70FFB2F7">
            <w:pPr>
              <w:rPr>
                <w:rFonts w:asciiTheme="majorBidi" w:hAnsiTheme="majorBidi" w:cstheme="majorBidi"/>
                <w:sz w:val="32"/>
                <w:szCs w:val="32"/>
              </w:rPr>
            </w:pPr>
            <w:r>
              <w:rPr>
                <w:rFonts w:asciiTheme="majorBidi" w:hAnsiTheme="majorBidi" w:cstheme="majorBidi"/>
                <w:b/>
                <w:bCs/>
                <w:sz w:val="22"/>
                <w:szCs w:val="22"/>
              </w:rPr>
              <w:t>Theoretical construct</w:t>
            </w:r>
          </w:p>
        </w:tc>
        <w:tc>
          <w:tcPr>
            <w:tcW w:w="1500" w:type="dxa"/>
            <w:shd w:val="clear" w:color="auto" w:fill="D9E2F3"/>
            <w:tcMar>
              <w:top w:w="90" w:type="dxa"/>
              <w:left w:w="90" w:type="dxa"/>
              <w:bottom w:w="90" w:type="dxa"/>
              <w:right w:w="90" w:type="dxa"/>
            </w:tcMar>
          </w:tcPr>
          <w:p w14:paraId="6CB40988">
            <w:pPr>
              <w:rPr>
                <w:rFonts w:asciiTheme="majorBidi" w:hAnsiTheme="majorBidi" w:cstheme="majorBidi"/>
                <w:sz w:val="32"/>
                <w:szCs w:val="32"/>
              </w:rPr>
            </w:pPr>
            <w:r>
              <w:rPr>
                <w:rFonts w:asciiTheme="majorBidi" w:hAnsiTheme="majorBidi" w:cstheme="majorBidi"/>
                <w:b/>
                <w:bCs/>
                <w:sz w:val="22"/>
                <w:szCs w:val="22"/>
              </w:rPr>
              <w:t>SCCT</w:t>
            </w:r>
          </w:p>
        </w:tc>
        <w:tc>
          <w:tcPr>
            <w:tcW w:w="1500" w:type="dxa"/>
            <w:shd w:val="clear" w:color="auto" w:fill="D9E2F3"/>
            <w:tcMar>
              <w:top w:w="90" w:type="dxa"/>
              <w:left w:w="90" w:type="dxa"/>
              <w:bottom w:w="90" w:type="dxa"/>
              <w:right w:w="90" w:type="dxa"/>
            </w:tcMar>
          </w:tcPr>
          <w:p w14:paraId="074E80C2">
            <w:pPr>
              <w:rPr>
                <w:rFonts w:asciiTheme="majorBidi" w:hAnsiTheme="majorBidi" w:cstheme="majorBidi"/>
                <w:sz w:val="32"/>
                <w:szCs w:val="32"/>
              </w:rPr>
            </w:pPr>
            <w:r>
              <w:rPr>
                <w:rFonts w:asciiTheme="majorBidi" w:hAnsiTheme="majorBidi" w:cstheme="majorBidi"/>
                <w:b/>
                <w:bCs/>
                <w:sz w:val="22"/>
                <w:szCs w:val="22"/>
              </w:rPr>
              <w:t>IRT</w:t>
            </w:r>
          </w:p>
        </w:tc>
        <w:tc>
          <w:tcPr>
            <w:tcW w:w="2300" w:type="dxa"/>
            <w:shd w:val="clear" w:color="auto" w:fill="D9E2F3"/>
            <w:tcMar>
              <w:top w:w="90" w:type="dxa"/>
              <w:left w:w="90" w:type="dxa"/>
              <w:bottom w:w="90" w:type="dxa"/>
              <w:right w:w="90" w:type="dxa"/>
            </w:tcMar>
          </w:tcPr>
          <w:p w14:paraId="0D992CEB">
            <w:pPr>
              <w:rPr>
                <w:rFonts w:asciiTheme="majorBidi" w:hAnsiTheme="majorBidi" w:cstheme="majorBidi"/>
                <w:sz w:val="32"/>
                <w:szCs w:val="32"/>
              </w:rPr>
            </w:pPr>
            <w:r>
              <w:rPr>
                <w:rFonts w:asciiTheme="majorBidi" w:hAnsiTheme="majorBidi" w:cstheme="majorBidi"/>
                <w:b/>
                <w:bCs/>
                <w:sz w:val="22"/>
                <w:szCs w:val="22"/>
              </w:rPr>
              <w:t>Humanitarian implication</w:t>
            </w:r>
          </w:p>
        </w:tc>
        <w:tc>
          <w:tcPr>
            <w:tcW w:w="1900" w:type="dxa"/>
            <w:shd w:val="clear" w:color="auto" w:fill="D9E2F3"/>
            <w:tcMar>
              <w:top w:w="90" w:type="dxa"/>
              <w:left w:w="90" w:type="dxa"/>
              <w:bottom w:w="90" w:type="dxa"/>
              <w:right w:w="90" w:type="dxa"/>
            </w:tcMar>
          </w:tcPr>
          <w:p w14:paraId="7CFD8E64">
            <w:pPr>
              <w:rPr>
                <w:rFonts w:asciiTheme="majorBidi" w:hAnsiTheme="majorBidi" w:cstheme="majorBidi"/>
                <w:sz w:val="32"/>
                <w:szCs w:val="32"/>
              </w:rPr>
            </w:pPr>
            <w:r>
              <w:rPr>
                <w:rFonts w:asciiTheme="majorBidi" w:hAnsiTheme="majorBidi" w:cstheme="majorBidi"/>
                <w:b/>
                <w:bCs/>
                <w:sz w:val="22"/>
                <w:szCs w:val="22"/>
              </w:rPr>
              <w:t>Evidence in corpus</w:t>
            </w:r>
          </w:p>
        </w:tc>
      </w:tr>
      <w:tr w14:paraId="2716F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Mar>
              <w:top w:w="90" w:type="dxa"/>
              <w:left w:w="90" w:type="dxa"/>
              <w:bottom w:w="90" w:type="dxa"/>
              <w:right w:w="90" w:type="dxa"/>
            </w:tcMar>
          </w:tcPr>
          <w:p w14:paraId="0E0CB46A">
            <w:pPr>
              <w:rPr>
                <w:rFonts w:asciiTheme="majorBidi" w:hAnsiTheme="majorBidi" w:cstheme="majorBidi"/>
                <w:sz w:val="32"/>
                <w:szCs w:val="32"/>
              </w:rPr>
            </w:pPr>
            <w:r>
              <w:rPr>
                <w:rFonts w:asciiTheme="majorBidi" w:hAnsiTheme="majorBidi" w:cstheme="majorBidi"/>
                <w:sz w:val="22"/>
                <w:szCs w:val="22"/>
              </w:rPr>
              <w:t>Crisis responsibility / attribution</w:t>
            </w:r>
          </w:p>
        </w:tc>
        <w:tc>
          <w:tcPr>
            <w:tcW w:w="1500" w:type="dxa"/>
            <w:tcMar>
              <w:top w:w="90" w:type="dxa"/>
              <w:left w:w="90" w:type="dxa"/>
              <w:bottom w:w="90" w:type="dxa"/>
              <w:right w:w="90" w:type="dxa"/>
            </w:tcMar>
          </w:tcPr>
          <w:p w14:paraId="7CF02D11">
            <w:pPr>
              <w:rPr>
                <w:rFonts w:asciiTheme="majorBidi" w:hAnsiTheme="majorBidi" w:cstheme="majorBidi"/>
                <w:sz w:val="32"/>
                <w:szCs w:val="32"/>
              </w:rPr>
            </w:pPr>
            <w:r>
              <w:rPr>
                <w:rFonts w:asciiTheme="majorBidi" w:hAnsiTheme="majorBidi" w:cstheme="majorBidi"/>
                <w:sz w:val="22"/>
                <w:szCs w:val="22"/>
              </w:rPr>
              <w:t>Central construct: response strategy should match attributed responsibility (victim vs. preventable crisis)</w:t>
            </w:r>
          </w:p>
        </w:tc>
        <w:tc>
          <w:tcPr>
            <w:tcW w:w="1500" w:type="dxa"/>
            <w:tcMar>
              <w:top w:w="90" w:type="dxa"/>
              <w:left w:w="90" w:type="dxa"/>
              <w:bottom w:w="90" w:type="dxa"/>
              <w:right w:w="90" w:type="dxa"/>
            </w:tcMar>
          </w:tcPr>
          <w:p w14:paraId="71019B25">
            <w:pPr>
              <w:rPr>
                <w:rFonts w:asciiTheme="majorBidi" w:hAnsiTheme="majorBidi" w:cstheme="majorBidi"/>
                <w:sz w:val="32"/>
                <w:szCs w:val="32"/>
              </w:rPr>
            </w:pPr>
            <w:r>
              <w:rPr>
                <w:rFonts w:asciiTheme="majorBidi" w:hAnsiTheme="majorBidi" w:cstheme="majorBidi"/>
                <w:sz w:val="22"/>
                <w:szCs w:val="22"/>
              </w:rPr>
              <w:t>Not a central construct, though denial/evasion strategies relate to responsibility avoidance</w:t>
            </w:r>
          </w:p>
        </w:tc>
        <w:tc>
          <w:tcPr>
            <w:tcW w:w="2300" w:type="dxa"/>
            <w:tcMar>
              <w:top w:w="90" w:type="dxa"/>
              <w:left w:w="90" w:type="dxa"/>
              <w:bottom w:w="90" w:type="dxa"/>
              <w:right w:w="90" w:type="dxa"/>
            </w:tcMar>
          </w:tcPr>
          <w:p w14:paraId="34B30661">
            <w:pPr>
              <w:rPr>
                <w:rFonts w:asciiTheme="majorBidi" w:hAnsiTheme="majorBidi" w:cstheme="majorBidi"/>
                <w:sz w:val="32"/>
                <w:szCs w:val="32"/>
              </w:rPr>
            </w:pPr>
            <w:r>
              <w:rPr>
                <w:rFonts w:asciiTheme="majorBidi" w:hAnsiTheme="majorBidi" w:cstheme="majorBidi"/>
                <w:sz w:val="22"/>
                <w:szCs w:val="22"/>
              </w:rPr>
              <w:t>Humanitarian organizations largely frame breaches as externally attributed ('victim') crises, but a stated pre-breach warning (WFP) complicates a purely victim framing</w:t>
            </w:r>
          </w:p>
        </w:tc>
        <w:tc>
          <w:tcPr>
            <w:tcW w:w="1900" w:type="dxa"/>
            <w:tcMar>
              <w:top w:w="90" w:type="dxa"/>
              <w:left w:w="90" w:type="dxa"/>
              <w:bottom w:w="90" w:type="dxa"/>
              <w:right w:w="90" w:type="dxa"/>
            </w:tcMar>
          </w:tcPr>
          <w:p w14:paraId="532F1C47">
            <w:pPr>
              <w:rPr>
                <w:rFonts w:asciiTheme="majorBidi" w:hAnsiTheme="majorBidi" w:cstheme="majorBidi"/>
                <w:sz w:val="32"/>
                <w:szCs w:val="32"/>
              </w:rPr>
            </w:pPr>
            <w:r>
              <w:rPr>
                <w:rFonts w:asciiTheme="majorBidi" w:hAnsiTheme="majorBidi" w:cstheme="majorBidi"/>
                <w:sz w:val="22"/>
                <w:szCs w:val="22"/>
              </w:rPr>
              <w:t>ICRC-01/02 (external attack framing); WFP-05/internal directive (preventability complication, secondary-sourced)</w:t>
            </w:r>
          </w:p>
        </w:tc>
      </w:tr>
      <w:tr w14:paraId="625AB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Mar>
              <w:top w:w="90" w:type="dxa"/>
              <w:left w:w="90" w:type="dxa"/>
              <w:bottom w:w="90" w:type="dxa"/>
              <w:right w:w="90" w:type="dxa"/>
            </w:tcMar>
          </w:tcPr>
          <w:p w14:paraId="79A68039">
            <w:pPr>
              <w:rPr>
                <w:rFonts w:asciiTheme="majorBidi" w:hAnsiTheme="majorBidi" w:cstheme="majorBidi"/>
                <w:sz w:val="32"/>
                <w:szCs w:val="32"/>
              </w:rPr>
            </w:pPr>
            <w:r>
              <w:rPr>
                <w:rFonts w:asciiTheme="majorBidi" w:hAnsiTheme="majorBidi" w:cstheme="majorBidi"/>
                <w:sz w:val="22"/>
                <w:szCs w:val="22"/>
              </w:rPr>
              <w:t>Response strategy selection</w:t>
            </w:r>
          </w:p>
        </w:tc>
        <w:tc>
          <w:tcPr>
            <w:tcW w:w="1500" w:type="dxa"/>
            <w:tcMar>
              <w:top w:w="90" w:type="dxa"/>
              <w:left w:w="90" w:type="dxa"/>
              <w:bottom w:w="90" w:type="dxa"/>
              <w:right w:w="90" w:type="dxa"/>
            </w:tcMar>
          </w:tcPr>
          <w:p w14:paraId="7FE0042F">
            <w:pPr>
              <w:rPr>
                <w:rFonts w:asciiTheme="majorBidi" w:hAnsiTheme="majorBidi" w:cstheme="majorBidi"/>
                <w:sz w:val="32"/>
                <w:szCs w:val="32"/>
              </w:rPr>
            </w:pPr>
            <w:r>
              <w:rPr>
                <w:rFonts w:asciiTheme="majorBidi" w:hAnsiTheme="majorBidi" w:cstheme="majorBidi"/>
                <w:sz w:val="22"/>
                <w:szCs w:val="22"/>
              </w:rPr>
              <w:t>Central construct: strategy should be calibrated to crisis type</w:t>
            </w:r>
          </w:p>
        </w:tc>
        <w:tc>
          <w:tcPr>
            <w:tcW w:w="1500" w:type="dxa"/>
            <w:tcMar>
              <w:top w:w="90" w:type="dxa"/>
              <w:left w:w="90" w:type="dxa"/>
              <w:bottom w:w="90" w:type="dxa"/>
              <w:right w:w="90" w:type="dxa"/>
            </w:tcMar>
          </w:tcPr>
          <w:p w14:paraId="63A70FB7">
            <w:pPr>
              <w:rPr>
                <w:rFonts w:asciiTheme="majorBidi" w:hAnsiTheme="majorBidi" w:cstheme="majorBidi"/>
                <w:sz w:val="32"/>
                <w:szCs w:val="32"/>
              </w:rPr>
            </w:pPr>
            <w:r>
              <w:rPr>
                <w:rFonts w:asciiTheme="majorBidi" w:hAnsiTheme="majorBidi" w:cstheme="majorBidi"/>
                <w:sz w:val="22"/>
                <w:szCs w:val="22"/>
              </w:rPr>
              <w:t>Provides finer-grained rhetorical categories (denial, evasion, reducing offensiveness, corrective action, mortification)</w:t>
            </w:r>
          </w:p>
        </w:tc>
        <w:tc>
          <w:tcPr>
            <w:tcW w:w="2300" w:type="dxa"/>
            <w:tcMar>
              <w:top w:w="90" w:type="dxa"/>
              <w:left w:w="90" w:type="dxa"/>
              <w:bottom w:w="90" w:type="dxa"/>
              <w:right w:w="90" w:type="dxa"/>
            </w:tcMar>
          </w:tcPr>
          <w:p w14:paraId="7DE1772D">
            <w:pPr>
              <w:rPr>
                <w:rFonts w:asciiTheme="majorBidi" w:hAnsiTheme="majorBidi" w:cstheme="majorBidi"/>
                <w:sz w:val="32"/>
                <w:szCs w:val="32"/>
              </w:rPr>
            </w:pPr>
            <w:r>
              <w:rPr>
                <w:rFonts w:asciiTheme="majorBidi" w:hAnsiTheme="majorBidi" w:cstheme="majorBidi"/>
                <w:sz w:val="22"/>
                <w:szCs w:val="22"/>
              </w:rPr>
              <w:t>Neither theory specifies how strategy should be calibrated when the stakeholder is a population dependent on the organization for survival, rather than a customer or voter</w:t>
            </w:r>
          </w:p>
        </w:tc>
        <w:tc>
          <w:tcPr>
            <w:tcW w:w="1900" w:type="dxa"/>
            <w:tcMar>
              <w:top w:w="90" w:type="dxa"/>
              <w:left w:w="90" w:type="dxa"/>
              <w:bottom w:w="90" w:type="dxa"/>
              <w:right w:w="90" w:type="dxa"/>
            </w:tcMar>
          </w:tcPr>
          <w:p w14:paraId="299C6DCB">
            <w:pPr>
              <w:rPr>
                <w:rFonts w:asciiTheme="majorBidi" w:hAnsiTheme="majorBidi" w:cstheme="majorBidi"/>
                <w:sz w:val="32"/>
                <w:szCs w:val="32"/>
              </w:rPr>
            </w:pPr>
            <w:r>
              <w:rPr>
                <w:rFonts w:asciiTheme="majorBidi" w:hAnsiTheme="majorBidi" w:cstheme="majorBidi"/>
                <w:sz w:val="22"/>
                <w:szCs w:val="22"/>
              </w:rPr>
              <w:t>ICRC-01 through 05 (multi-document strategy sequence); WFP-01 through 05 (narrower strategy range)</w:t>
            </w:r>
          </w:p>
        </w:tc>
      </w:tr>
      <w:tr w14:paraId="2B7A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Mar>
              <w:top w:w="90" w:type="dxa"/>
              <w:left w:w="90" w:type="dxa"/>
              <w:bottom w:w="90" w:type="dxa"/>
              <w:right w:w="90" w:type="dxa"/>
            </w:tcMar>
          </w:tcPr>
          <w:p w14:paraId="00514AF7">
            <w:pPr>
              <w:rPr>
                <w:rFonts w:asciiTheme="majorBidi" w:hAnsiTheme="majorBidi" w:cstheme="majorBidi"/>
                <w:sz w:val="32"/>
                <w:szCs w:val="32"/>
              </w:rPr>
            </w:pPr>
            <w:r>
              <w:rPr>
                <w:rFonts w:asciiTheme="majorBidi" w:hAnsiTheme="majorBidi" w:cstheme="majorBidi"/>
                <w:sz w:val="22"/>
                <w:szCs w:val="22"/>
              </w:rPr>
              <w:t>Corrective action</w:t>
            </w:r>
          </w:p>
        </w:tc>
        <w:tc>
          <w:tcPr>
            <w:tcW w:w="1500" w:type="dxa"/>
            <w:tcMar>
              <w:top w:w="90" w:type="dxa"/>
              <w:left w:w="90" w:type="dxa"/>
              <w:bottom w:w="90" w:type="dxa"/>
              <w:right w:w="90" w:type="dxa"/>
            </w:tcMar>
          </w:tcPr>
          <w:p w14:paraId="2331FACF">
            <w:pPr>
              <w:rPr>
                <w:rFonts w:asciiTheme="majorBidi" w:hAnsiTheme="majorBidi" w:cstheme="majorBidi"/>
                <w:sz w:val="32"/>
                <w:szCs w:val="32"/>
              </w:rPr>
            </w:pPr>
            <w:r>
              <w:rPr>
                <w:rFonts w:asciiTheme="majorBidi" w:hAnsiTheme="majorBidi" w:cstheme="majorBidi"/>
                <w:sz w:val="22"/>
                <w:szCs w:val="22"/>
              </w:rPr>
              <w:t>Explicitly incorporated as a response strategy</w:t>
            </w:r>
          </w:p>
        </w:tc>
        <w:tc>
          <w:tcPr>
            <w:tcW w:w="1500" w:type="dxa"/>
            <w:tcMar>
              <w:top w:w="90" w:type="dxa"/>
              <w:left w:w="90" w:type="dxa"/>
              <w:bottom w:w="90" w:type="dxa"/>
              <w:right w:w="90" w:type="dxa"/>
            </w:tcMar>
          </w:tcPr>
          <w:p w14:paraId="70634E20">
            <w:pPr>
              <w:rPr>
                <w:rFonts w:asciiTheme="majorBidi" w:hAnsiTheme="majorBidi" w:cstheme="majorBidi"/>
                <w:sz w:val="32"/>
                <w:szCs w:val="32"/>
              </w:rPr>
            </w:pPr>
            <w:r>
              <w:rPr>
                <w:rFonts w:asciiTheme="majorBidi" w:hAnsiTheme="majorBidi" w:cstheme="majorBidi"/>
                <w:sz w:val="22"/>
                <w:szCs w:val="22"/>
              </w:rPr>
              <w:t>Explicitly incorporated as an image-repair strategy</w:t>
            </w:r>
          </w:p>
        </w:tc>
        <w:tc>
          <w:tcPr>
            <w:tcW w:w="2300" w:type="dxa"/>
            <w:tcMar>
              <w:top w:w="90" w:type="dxa"/>
              <w:left w:w="90" w:type="dxa"/>
              <w:bottom w:w="90" w:type="dxa"/>
              <w:right w:w="90" w:type="dxa"/>
            </w:tcMar>
          </w:tcPr>
          <w:p w14:paraId="6F878D1F">
            <w:pPr>
              <w:rPr>
                <w:rFonts w:asciiTheme="majorBidi" w:hAnsiTheme="majorBidi" w:cstheme="majorBidi"/>
                <w:sz w:val="32"/>
                <w:szCs w:val="32"/>
              </w:rPr>
            </w:pPr>
            <w:r>
              <w:rPr>
                <w:rFonts w:asciiTheme="majorBidi" w:hAnsiTheme="majorBidi" w:cstheme="majorBidi"/>
                <w:sz w:val="22"/>
                <w:szCs w:val="22"/>
              </w:rPr>
              <w:t>Both cases show corrective action; humanitarian framing extends it toward beneficiary protection, not only reputational repair</w:t>
            </w:r>
          </w:p>
        </w:tc>
        <w:tc>
          <w:tcPr>
            <w:tcW w:w="1900" w:type="dxa"/>
            <w:tcMar>
              <w:top w:w="90" w:type="dxa"/>
              <w:left w:w="90" w:type="dxa"/>
              <w:bottom w:w="90" w:type="dxa"/>
              <w:right w:w="90" w:type="dxa"/>
            </w:tcMar>
          </w:tcPr>
          <w:p w14:paraId="3A517125">
            <w:pPr>
              <w:rPr>
                <w:rFonts w:asciiTheme="majorBidi" w:hAnsiTheme="majorBidi" w:cstheme="majorBidi"/>
                <w:sz w:val="32"/>
                <w:szCs w:val="32"/>
              </w:rPr>
            </w:pPr>
            <w:r>
              <w:rPr>
                <w:rFonts w:asciiTheme="majorBidi" w:hAnsiTheme="majorBidi" w:cstheme="majorBidi"/>
                <w:sz w:val="22"/>
                <w:szCs w:val="22"/>
              </w:rPr>
              <w:t>CoA code: ICRC 4/5 documents; WFP 4/4 determinable documents</w:t>
            </w:r>
          </w:p>
        </w:tc>
      </w:tr>
      <w:tr w14:paraId="62E61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Mar>
              <w:top w:w="90" w:type="dxa"/>
              <w:left w:w="90" w:type="dxa"/>
              <w:bottom w:w="90" w:type="dxa"/>
              <w:right w:w="90" w:type="dxa"/>
            </w:tcMar>
          </w:tcPr>
          <w:p w14:paraId="6AF66D29">
            <w:pPr>
              <w:rPr>
                <w:rFonts w:asciiTheme="majorBidi" w:hAnsiTheme="majorBidi" w:cstheme="majorBidi"/>
                <w:sz w:val="32"/>
                <w:szCs w:val="32"/>
              </w:rPr>
            </w:pPr>
            <w:r>
              <w:rPr>
                <w:rFonts w:asciiTheme="majorBidi" w:hAnsiTheme="majorBidi" w:cstheme="majorBidi"/>
                <w:sz w:val="22"/>
                <w:szCs w:val="22"/>
              </w:rPr>
              <w:t>Accountability / responsibility acceptance</w:t>
            </w:r>
          </w:p>
        </w:tc>
        <w:tc>
          <w:tcPr>
            <w:tcW w:w="1500" w:type="dxa"/>
            <w:tcMar>
              <w:top w:w="90" w:type="dxa"/>
              <w:left w:w="90" w:type="dxa"/>
              <w:bottom w:w="90" w:type="dxa"/>
              <w:right w:w="90" w:type="dxa"/>
            </w:tcMar>
          </w:tcPr>
          <w:p w14:paraId="32197FFA">
            <w:pPr>
              <w:rPr>
                <w:rFonts w:asciiTheme="majorBidi" w:hAnsiTheme="majorBidi" w:cstheme="majorBidi"/>
                <w:sz w:val="32"/>
                <w:szCs w:val="32"/>
              </w:rPr>
            </w:pPr>
            <w:r>
              <w:rPr>
                <w:rFonts w:asciiTheme="majorBidi" w:hAnsiTheme="majorBidi" w:cstheme="majorBidi"/>
                <w:sz w:val="22"/>
                <w:szCs w:val="22"/>
              </w:rPr>
              <w:t>Partially addressed via responsibility attribution</w:t>
            </w:r>
          </w:p>
        </w:tc>
        <w:tc>
          <w:tcPr>
            <w:tcW w:w="1500" w:type="dxa"/>
            <w:tcMar>
              <w:top w:w="90" w:type="dxa"/>
              <w:left w:w="90" w:type="dxa"/>
              <w:bottom w:w="90" w:type="dxa"/>
              <w:right w:w="90" w:type="dxa"/>
            </w:tcMar>
          </w:tcPr>
          <w:p w14:paraId="07DCF352">
            <w:pPr>
              <w:rPr>
                <w:rFonts w:asciiTheme="majorBidi" w:hAnsiTheme="majorBidi" w:cstheme="majorBidi"/>
                <w:sz w:val="32"/>
                <w:szCs w:val="32"/>
              </w:rPr>
            </w:pPr>
            <w:r>
              <w:rPr>
                <w:rFonts w:asciiTheme="majorBidi" w:hAnsiTheme="majorBidi" w:cstheme="majorBidi"/>
                <w:sz w:val="22"/>
                <w:szCs w:val="22"/>
              </w:rPr>
              <w:t>Central construct (mortification, corrective action)</w:t>
            </w:r>
          </w:p>
        </w:tc>
        <w:tc>
          <w:tcPr>
            <w:tcW w:w="2300" w:type="dxa"/>
            <w:tcMar>
              <w:top w:w="90" w:type="dxa"/>
              <w:left w:w="90" w:type="dxa"/>
              <w:bottom w:w="90" w:type="dxa"/>
              <w:right w:w="90" w:type="dxa"/>
            </w:tcMar>
          </w:tcPr>
          <w:p w14:paraId="08AEF299">
            <w:pPr>
              <w:rPr>
                <w:rFonts w:asciiTheme="majorBidi" w:hAnsiTheme="majorBidi" w:cstheme="majorBidi"/>
                <w:sz w:val="32"/>
                <w:szCs w:val="32"/>
              </w:rPr>
            </w:pPr>
            <w:r>
              <w:rPr>
                <w:rFonts w:asciiTheme="majorBidi" w:hAnsiTheme="majorBidi" w:cstheme="majorBidi"/>
                <w:sz w:val="22"/>
                <w:szCs w:val="22"/>
              </w:rPr>
              <w:t>ICRC corpus shows explicit accountability language absent from the WFP corpus as currently documented</w:t>
            </w:r>
          </w:p>
        </w:tc>
        <w:tc>
          <w:tcPr>
            <w:tcW w:w="1900" w:type="dxa"/>
            <w:tcMar>
              <w:top w:w="90" w:type="dxa"/>
              <w:left w:w="90" w:type="dxa"/>
              <w:bottom w:w="90" w:type="dxa"/>
              <w:right w:w="90" w:type="dxa"/>
            </w:tcMar>
          </w:tcPr>
          <w:p w14:paraId="739BDFC4">
            <w:pPr>
              <w:rPr>
                <w:rFonts w:asciiTheme="majorBidi" w:hAnsiTheme="majorBidi" w:cstheme="majorBidi"/>
                <w:sz w:val="32"/>
                <w:szCs w:val="32"/>
              </w:rPr>
            </w:pPr>
            <w:r>
              <w:rPr>
                <w:rFonts w:asciiTheme="majorBidi" w:hAnsiTheme="majorBidi" w:cstheme="majorBidi"/>
                <w:sz w:val="22"/>
                <w:szCs w:val="22"/>
              </w:rPr>
              <w:t>RAF code: ICRC 3/4 (75%); WFP 0/5 (0%)</w:t>
            </w:r>
          </w:p>
        </w:tc>
      </w:tr>
      <w:tr w14:paraId="0C84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Mar>
              <w:top w:w="90" w:type="dxa"/>
              <w:left w:w="90" w:type="dxa"/>
              <w:bottom w:w="90" w:type="dxa"/>
              <w:right w:w="90" w:type="dxa"/>
            </w:tcMar>
          </w:tcPr>
          <w:p w14:paraId="1E71952D">
            <w:pPr>
              <w:rPr>
                <w:rFonts w:asciiTheme="majorBidi" w:hAnsiTheme="majorBidi" w:cstheme="majorBidi"/>
                <w:sz w:val="32"/>
                <w:szCs w:val="32"/>
              </w:rPr>
            </w:pPr>
            <w:r>
              <w:rPr>
                <w:rFonts w:asciiTheme="majorBidi" w:hAnsiTheme="majorBidi" w:cstheme="majorBidi"/>
                <w:sz w:val="22"/>
                <w:szCs w:val="22"/>
              </w:rPr>
              <w:t>Beneficiary/stakeholder protection</w:t>
            </w:r>
          </w:p>
        </w:tc>
        <w:tc>
          <w:tcPr>
            <w:tcW w:w="1500" w:type="dxa"/>
            <w:tcMar>
              <w:top w:w="90" w:type="dxa"/>
              <w:left w:w="90" w:type="dxa"/>
              <w:bottom w:w="90" w:type="dxa"/>
              <w:right w:w="90" w:type="dxa"/>
            </w:tcMar>
          </w:tcPr>
          <w:p w14:paraId="2FE46467">
            <w:pPr>
              <w:rPr>
                <w:rFonts w:asciiTheme="majorBidi" w:hAnsiTheme="majorBidi" w:cstheme="majorBidi"/>
                <w:sz w:val="32"/>
                <w:szCs w:val="32"/>
              </w:rPr>
            </w:pPr>
            <w:r>
              <w:rPr>
                <w:rFonts w:asciiTheme="majorBidi" w:hAnsiTheme="majorBidi" w:cstheme="majorBidi"/>
                <w:sz w:val="22"/>
                <w:szCs w:val="22"/>
              </w:rPr>
              <w:t>Not a central construct; SCCT is oriented toward organizational reputation</w:t>
            </w:r>
          </w:p>
        </w:tc>
        <w:tc>
          <w:tcPr>
            <w:tcW w:w="1500" w:type="dxa"/>
            <w:tcMar>
              <w:top w:w="90" w:type="dxa"/>
              <w:left w:w="90" w:type="dxa"/>
              <w:bottom w:w="90" w:type="dxa"/>
              <w:right w:w="90" w:type="dxa"/>
            </w:tcMar>
          </w:tcPr>
          <w:p w14:paraId="700F737A">
            <w:pPr>
              <w:rPr>
                <w:rFonts w:asciiTheme="majorBidi" w:hAnsiTheme="majorBidi" w:cstheme="majorBidi"/>
                <w:sz w:val="32"/>
                <w:szCs w:val="32"/>
              </w:rPr>
            </w:pPr>
            <w:r>
              <w:rPr>
                <w:rFonts w:asciiTheme="majorBidi" w:hAnsiTheme="majorBidi" w:cstheme="majorBidi"/>
                <w:sz w:val="22"/>
                <w:szCs w:val="22"/>
              </w:rPr>
              <w:t>Not a central construct; IRT is oriented toward image protection</w:t>
            </w:r>
          </w:p>
        </w:tc>
        <w:tc>
          <w:tcPr>
            <w:tcW w:w="2300" w:type="dxa"/>
            <w:tcMar>
              <w:top w:w="90" w:type="dxa"/>
              <w:left w:w="90" w:type="dxa"/>
              <w:bottom w:w="90" w:type="dxa"/>
              <w:right w:w="90" w:type="dxa"/>
            </w:tcMar>
          </w:tcPr>
          <w:p w14:paraId="6283445F">
            <w:pPr>
              <w:rPr>
                <w:rFonts w:asciiTheme="majorBidi" w:hAnsiTheme="majorBidi" w:cstheme="majorBidi"/>
                <w:sz w:val="32"/>
                <w:szCs w:val="32"/>
              </w:rPr>
            </w:pPr>
            <w:r>
              <w:rPr>
                <w:rFonts w:asciiTheme="majorBidi" w:hAnsiTheme="majorBidi" w:cstheme="majorBidi"/>
                <w:sz w:val="22"/>
                <w:szCs w:val="22"/>
              </w:rPr>
              <w:t>Neither theory was built to explain communication whose primary aim is reducing harm to a dependent population rather than protecting the organization's image</w:t>
            </w:r>
          </w:p>
        </w:tc>
        <w:tc>
          <w:tcPr>
            <w:tcW w:w="1900" w:type="dxa"/>
            <w:tcMar>
              <w:top w:w="90" w:type="dxa"/>
              <w:left w:w="90" w:type="dxa"/>
              <w:bottom w:w="90" w:type="dxa"/>
              <w:right w:w="90" w:type="dxa"/>
            </w:tcMar>
          </w:tcPr>
          <w:p w14:paraId="57328B1B">
            <w:pPr>
              <w:rPr>
                <w:rFonts w:asciiTheme="majorBidi" w:hAnsiTheme="majorBidi" w:cstheme="majorBidi"/>
                <w:sz w:val="32"/>
                <w:szCs w:val="32"/>
              </w:rPr>
            </w:pPr>
            <w:r>
              <w:rPr>
                <w:rFonts w:asciiTheme="majorBidi" w:hAnsiTheme="majorBidi" w:cstheme="majorBidi"/>
                <w:sz w:val="22"/>
                <w:szCs w:val="22"/>
              </w:rPr>
              <w:t>BPG code present in both corpora; motivates the study's emergent constructs rather than being explained by either theory</w:t>
            </w:r>
          </w:p>
        </w:tc>
      </w:tr>
      <w:tr w14:paraId="6D1EB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Mar>
              <w:top w:w="90" w:type="dxa"/>
              <w:left w:w="90" w:type="dxa"/>
              <w:bottom w:w="90" w:type="dxa"/>
              <w:right w:w="90" w:type="dxa"/>
            </w:tcMar>
          </w:tcPr>
          <w:p w14:paraId="256D8304">
            <w:pPr>
              <w:rPr>
                <w:rFonts w:asciiTheme="majorBidi" w:hAnsiTheme="majorBidi" w:cstheme="majorBidi"/>
                <w:sz w:val="32"/>
                <w:szCs w:val="32"/>
              </w:rPr>
            </w:pPr>
            <w:r>
              <w:rPr>
                <w:rFonts w:asciiTheme="majorBidi" w:hAnsiTheme="majorBidi" w:cstheme="majorBidi"/>
                <w:sz w:val="22"/>
                <w:szCs w:val="22"/>
              </w:rPr>
              <w:t>Disclosure-risk trade-offs</w:t>
            </w:r>
          </w:p>
        </w:tc>
        <w:tc>
          <w:tcPr>
            <w:tcW w:w="1500" w:type="dxa"/>
            <w:tcMar>
              <w:top w:w="90" w:type="dxa"/>
              <w:left w:w="90" w:type="dxa"/>
              <w:bottom w:w="90" w:type="dxa"/>
              <w:right w:w="90" w:type="dxa"/>
            </w:tcMar>
          </w:tcPr>
          <w:p w14:paraId="55D2B162">
            <w:pPr>
              <w:rPr>
                <w:rFonts w:asciiTheme="majorBidi" w:hAnsiTheme="majorBidi" w:cstheme="majorBidi"/>
                <w:sz w:val="32"/>
                <w:szCs w:val="32"/>
              </w:rPr>
            </w:pPr>
            <w:r>
              <w:rPr>
                <w:rFonts w:asciiTheme="majorBidi" w:hAnsiTheme="majorBidi" w:cstheme="majorBidi"/>
                <w:sz w:val="22"/>
                <w:szCs w:val="22"/>
              </w:rPr>
              <w:t>Not addressed</w:t>
            </w:r>
          </w:p>
        </w:tc>
        <w:tc>
          <w:tcPr>
            <w:tcW w:w="1500" w:type="dxa"/>
            <w:tcMar>
              <w:top w:w="90" w:type="dxa"/>
              <w:left w:w="90" w:type="dxa"/>
              <w:bottom w:w="90" w:type="dxa"/>
              <w:right w:w="90" w:type="dxa"/>
            </w:tcMar>
          </w:tcPr>
          <w:p w14:paraId="1BDFCB8C">
            <w:pPr>
              <w:rPr>
                <w:rFonts w:asciiTheme="majorBidi" w:hAnsiTheme="majorBidi" w:cstheme="majorBidi"/>
                <w:sz w:val="32"/>
                <w:szCs w:val="32"/>
              </w:rPr>
            </w:pPr>
            <w:r>
              <w:rPr>
                <w:rFonts w:asciiTheme="majorBidi" w:hAnsiTheme="majorBidi" w:cstheme="majorBidi"/>
                <w:sz w:val="22"/>
                <w:szCs w:val="22"/>
              </w:rPr>
              <w:t>Not addressed</w:t>
            </w:r>
          </w:p>
        </w:tc>
        <w:tc>
          <w:tcPr>
            <w:tcW w:w="2300" w:type="dxa"/>
            <w:tcMar>
              <w:top w:w="90" w:type="dxa"/>
              <w:left w:w="90" w:type="dxa"/>
              <w:bottom w:w="90" w:type="dxa"/>
              <w:right w:w="90" w:type="dxa"/>
            </w:tcMar>
          </w:tcPr>
          <w:p w14:paraId="08C5FE29">
            <w:pPr>
              <w:rPr>
                <w:rFonts w:asciiTheme="majorBidi" w:hAnsiTheme="majorBidi" w:cstheme="majorBidi"/>
                <w:sz w:val="32"/>
                <w:szCs w:val="32"/>
              </w:rPr>
            </w:pPr>
            <w:r>
              <w:rPr>
                <w:rFonts w:asciiTheme="majorBidi" w:hAnsiTheme="majorBidi" w:cstheme="majorBidi"/>
                <w:sz w:val="22"/>
                <w:szCs w:val="22"/>
              </w:rPr>
              <w:t>Central to this study's proposed contribution: disclosure itself may increase risk to affected populations, a consideration absent from both source theories</w:t>
            </w:r>
          </w:p>
        </w:tc>
        <w:tc>
          <w:tcPr>
            <w:tcW w:w="1900" w:type="dxa"/>
            <w:tcMar>
              <w:top w:w="90" w:type="dxa"/>
              <w:left w:w="90" w:type="dxa"/>
              <w:bottom w:w="90" w:type="dxa"/>
              <w:right w:w="90" w:type="dxa"/>
            </w:tcMar>
          </w:tcPr>
          <w:p w14:paraId="2B333443">
            <w:pPr>
              <w:rPr>
                <w:rFonts w:asciiTheme="majorBidi" w:hAnsiTheme="majorBidi" w:cstheme="majorBidi"/>
                <w:sz w:val="32"/>
                <w:szCs w:val="32"/>
              </w:rPr>
            </w:pPr>
            <w:r>
              <w:rPr>
                <w:rFonts w:asciiTheme="majorBidi" w:hAnsiTheme="majorBidi" w:cstheme="majorBidi"/>
                <w:sz w:val="22"/>
                <w:szCs w:val="22"/>
              </w:rPr>
              <w:t>PBR code: ICRC 1/3 (33%) determinable, WFP 0/5 (0%); basis for protection-bounded transparency / institutional reticence constructs</w:t>
            </w:r>
          </w:p>
        </w:tc>
      </w:tr>
      <w:tr w14:paraId="5BA61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00" w:type="dxa"/>
            <w:tcMar>
              <w:top w:w="90" w:type="dxa"/>
              <w:left w:w="90" w:type="dxa"/>
              <w:bottom w:w="90" w:type="dxa"/>
              <w:right w:w="90" w:type="dxa"/>
            </w:tcMar>
          </w:tcPr>
          <w:p w14:paraId="654BE38D">
            <w:pPr>
              <w:rPr>
                <w:rFonts w:asciiTheme="majorBidi" w:hAnsiTheme="majorBidi" w:cstheme="majorBidi"/>
                <w:sz w:val="32"/>
                <w:szCs w:val="32"/>
              </w:rPr>
            </w:pPr>
            <w:r>
              <w:rPr>
                <w:rFonts w:asciiTheme="majorBidi" w:hAnsiTheme="majorBidi" w:cstheme="majorBidi"/>
                <w:sz w:val="22"/>
                <w:szCs w:val="22"/>
              </w:rPr>
              <w:t>Operational continuity</w:t>
            </w:r>
          </w:p>
        </w:tc>
        <w:tc>
          <w:tcPr>
            <w:tcW w:w="1500" w:type="dxa"/>
            <w:tcMar>
              <w:top w:w="90" w:type="dxa"/>
              <w:left w:w="90" w:type="dxa"/>
              <w:bottom w:w="90" w:type="dxa"/>
              <w:right w:w="90" w:type="dxa"/>
            </w:tcMar>
          </w:tcPr>
          <w:p w14:paraId="5536C5C4">
            <w:pPr>
              <w:rPr>
                <w:rFonts w:asciiTheme="majorBidi" w:hAnsiTheme="majorBidi" w:cstheme="majorBidi"/>
                <w:sz w:val="32"/>
                <w:szCs w:val="32"/>
              </w:rPr>
            </w:pPr>
            <w:r>
              <w:rPr>
                <w:rFonts w:asciiTheme="majorBidi" w:hAnsiTheme="majorBidi" w:cstheme="majorBidi"/>
                <w:sz w:val="22"/>
                <w:szCs w:val="22"/>
              </w:rPr>
              <w:t>Not addressed</w:t>
            </w:r>
          </w:p>
        </w:tc>
        <w:tc>
          <w:tcPr>
            <w:tcW w:w="1500" w:type="dxa"/>
            <w:tcMar>
              <w:top w:w="90" w:type="dxa"/>
              <w:left w:w="90" w:type="dxa"/>
              <w:bottom w:w="90" w:type="dxa"/>
              <w:right w:w="90" w:type="dxa"/>
            </w:tcMar>
          </w:tcPr>
          <w:p w14:paraId="351CD3DC">
            <w:pPr>
              <w:rPr>
                <w:rFonts w:asciiTheme="majorBidi" w:hAnsiTheme="majorBidi" w:cstheme="majorBidi"/>
                <w:sz w:val="32"/>
                <w:szCs w:val="32"/>
              </w:rPr>
            </w:pPr>
            <w:r>
              <w:rPr>
                <w:rFonts w:asciiTheme="majorBidi" w:hAnsiTheme="majorBidi" w:cstheme="majorBidi"/>
                <w:sz w:val="22"/>
                <w:szCs w:val="22"/>
              </w:rPr>
              <w:t>Not addressed</w:t>
            </w:r>
          </w:p>
        </w:tc>
        <w:tc>
          <w:tcPr>
            <w:tcW w:w="2300" w:type="dxa"/>
            <w:tcMar>
              <w:top w:w="90" w:type="dxa"/>
              <w:left w:w="90" w:type="dxa"/>
              <w:bottom w:w="90" w:type="dxa"/>
              <w:right w:w="90" w:type="dxa"/>
            </w:tcMar>
          </w:tcPr>
          <w:p w14:paraId="0ED3B3DE">
            <w:pPr>
              <w:rPr>
                <w:rFonts w:asciiTheme="majorBidi" w:hAnsiTheme="majorBidi" w:cstheme="majorBidi"/>
                <w:sz w:val="32"/>
                <w:szCs w:val="32"/>
              </w:rPr>
            </w:pPr>
            <w:r>
              <w:rPr>
                <w:rFonts w:asciiTheme="majorBidi" w:hAnsiTheme="majorBidi" w:cstheme="majorBidi"/>
                <w:sz w:val="22"/>
                <w:szCs w:val="22"/>
              </w:rPr>
              <w:t>Humanitarian organizations must communicate about continuity of life-sustaining services, a function outside both theories' original scope</w:t>
            </w:r>
          </w:p>
        </w:tc>
        <w:tc>
          <w:tcPr>
            <w:tcW w:w="1900" w:type="dxa"/>
            <w:tcMar>
              <w:top w:w="90" w:type="dxa"/>
              <w:left w:w="90" w:type="dxa"/>
              <w:bottom w:w="90" w:type="dxa"/>
              <w:right w:w="90" w:type="dxa"/>
            </w:tcMar>
          </w:tcPr>
          <w:p w14:paraId="297B766B">
            <w:pPr>
              <w:rPr>
                <w:rFonts w:asciiTheme="majorBidi" w:hAnsiTheme="majorBidi" w:cstheme="majorBidi"/>
                <w:sz w:val="32"/>
                <w:szCs w:val="32"/>
              </w:rPr>
            </w:pPr>
            <w:r>
              <w:rPr>
                <w:rFonts w:asciiTheme="majorBidi" w:hAnsiTheme="majorBidi" w:cstheme="majorBidi"/>
                <w:sz w:val="22"/>
                <w:szCs w:val="22"/>
              </w:rPr>
              <w:t>OC code: ICRC 5/5 (100%); WFP 3/4 (75%)</w:t>
            </w:r>
          </w:p>
        </w:tc>
      </w:tr>
    </w:tbl>
    <w:p w14:paraId="43882821">
      <w:pPr>
        <w:spacing w:before="60" w:after="180"/>
      </w:pPr>
      <w:r>
        <w:rPr>
          <w:i/>
          <w:sz w:val="18"/>
        </w:rPr>
        <w:t>Source: Author's own analysis based on Coombs (2007), Benoit (2015), and the study's coding matrix (Section 12.7).</w:t>
      </w:r>
    </w:p>
    <w:p w14:paraId="6B2006A7">
      <w:pPr>
        <w:spacing w:after="200" w:line="360" w:lineRule="auto"/>
        <w:jc w:val="both"/>
        <w:rPr>
          <w:rFonts w:asciiTheme="majorBidi" w:hAnsiTheme="majorBidi" w:cstheme="majorBidi"/>
          <w:sz w:val="32"/>
          <w:szCs w:val="32"/>
        </w:rPr>
      </w:pPr>
      <w:r>
        <w:rPr>
          <w:rFonts w:asciiTheme="majorBidi" w:hAnsiTheme="majorBidi" w:cstheme="majorBidi"/>
          <w:sz w:val="32"/>
          <w:szCs w:val="32"/>
        </w:rPr>
        <w:t xml:space="preserve"> </w:t>
      </w:r>
    </w:p>
    <w:p w14:paraId="79E80F39">
      <w:pPr>
        <w:pStyle w:val="2"/>
        <w:spacing w:before="360" w:after="160"/>
        <w:rPr>
          <w:rFonts w:asciiTheme="majorBidi" w:hAnsiTheme="majorBidi" w:cstheme="majorBidi"/>
          <w:sz w:val="40"/>
          <w:szCs w:val="40"/>
        </w:rPr>
      </w:pPr>
      <w:r>
        <w:rPr>
          <w:rFonts w:asciiTheme="majorBidi" w:hAnsiTheme="majorBidi" w:cstheme="majorBidi"/>
          <w:b/>
          <w:bCs/>
          <w:sz w:val="36"/>
          <w:szCs w:val="36"/>
        </w:rPr>
        <w:t>9. Methodology</w:t>
      </w:r>
    </w:p>
    <w:p w14:paraId="6C7D88F8">
      <w:pPr>
        <w:spacing w:after="200" w:line="360" w:lineRule="auto"/>
        <w:jc w:val="both"/>
        <w:rPr>
          <w:rFonts w:asciiTheme="majorBidi" w:hAnsiTheme="majorBidi" w:cstheme="majorBidi"/>
          <w:sz w:val="32"/>
          <w:szCs w:val="32"/>
        </w:rPr>
      </w:pPr>
      <w:r>
        <w:rPr>
          <w:rFonts w:asciiTheme="majorBidi" w:hAnsiTheme="majorBidi" w:cstheme="majorBidi"/>
          <w:sz w:val="32"/>
          <w:szCs w:val="32"/>
        </w:rPr>
        <w:t>This study employs a qualitative comparative content analysis, supplemented by descriptive frequency and temporal analysis where reliable timestamps are available. The unit of analysis is each discrete official communication issued by ICRC or WFP in connection with the respective breach. Sources are classified into three evidentiary levels: Level A (official organizational communication - the primary coding corpus), Level B (official UN/inter-agency documentation, used for verification), and Level C (independent media and civil-society reporting, used only for contextual triangulation, never coded as organizational communication). The study follows relevant principles of qualitative reporting transparency, drawing primarily on the Standards for Reporting Qualitative Research (SRQR); the Consolidated Criteria for Reporting Qualitative Research (COREQ) is not treated as a direct reporting standard, as the study is document-based rather than interview- or focus-group-based. As a single-coder qualitative document analysis at this stage, the study relies on an explicit codebook, an auditable evidence trail linking every code to a dated, sourced document excerpt, and negative-case attention (coding "NA" rather than "0" where a category is not evidenced, to avoid conflating absence of documentation with absence of practice) in place of a formal intercoder-reliability statistic; a second-coder reliability check (e.g., Krippendorff's alpha) is identified as a priority for the next research phase.</w:t>
      </w:r>
    </w:p>
    <w:p w14:paraId="4AD5DC47">
      <w:pPr>
        <w:pStyle w:val="2"/>
        <w:spacing w:before="360" w:after="160"/>
        <w:rPr>
          <w:rFonts w:asciiTheme="majorBidi" w:hAnsiTheme="majorBidi" w:cstheme="majorBidi"/>
          <w:sz w:val="40"/>
          <w:szCs w:val="40"/>
        </w:rPr>
      </w:pPr>
      <w:r>
        <w:rPr>
          <w:rFonts w:asciiTheme="majorBidi" w:hAnsiTheme="majorBidi" w:cstheme="majorBidi"/>
          <w:b/>
          <w:bCs/>
          <w:sz w:val="36"/>
          <w:szCs w:val="36"/>
        </w:rPr>
        <w:t>10. Coding Scheme</w:t>
      </w:r>
    </w:p>
    <w:p w14:paraId="13B92033">
      <w:pPr>
        <w:spacing w:after="200" w:line="360" w:lineRule="auto"/>
        <w:jc w:val="both"/>
        <w:rPr>
          <w:rFonts w:asciiTheme="majorBidi" w:hAnsiTheme="majorBidi" w:cstheme="majorBidi"/>
          <w:sz w:val="32"/>
          <w:szCs w:val="32"/>
        </w:rPr>
      </w:pPr>
      <w:r>
        <w:rPr>
          <w:rFonts w:asciiTheme="majorBidi" w:hAnsiTheme="majorBidi" w:cstheme="majorBidi"/>
          <w:sz w:val="32"/>
          <w:szCs w:val="32"/>
        </w:rPr>
        <w:t>The scheme below reflects the coding categories used in the analysis. "Response interval" replaces an earlier "response speed" formulation and is calculated only where both a start and end timestamp are documented by the organization itself.</w:t>
      </w:r>
    </w:p>
    <w:p w14:paraId="202B3FF9">
      <w:pPr>
        <w:spacing w:before="180" w:after="60"/>
      </w:pPr>
      <w:r>
        <w:rPr>
          <w:b/>
          <w:sz w:val="20"/>
        </w:rPr>
        <w:t>Table 4. Coding Scheme: Category Definitions</w:t>
      </w:r>
    </w:p>
    <w:tbl>
      <w:tblPr>
        <w:tblStyle w:val="9"/>
        <w:tblW w:w="9350" w:type="dxa"/>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300"/>
        <w:gridCol w:w="6050"/>
      </w:tblGrid>
      <w:tr w14:paraId="669B3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300" w:type="dxa"/>
            <w:shd w:val="clear" w:color="auto" w:fill="D9E2F3"/>
            <w:tcMar>
              <w:top w:w="90" w:type="dxa"/>
              <w:left w:w="90" w:type="dxa"/>
              <w:bottom w:w="90" w:type="dxa"/>
              <w:right w:w="90" w:type="dxa"/>
            </w:tcMar>
          </w:tcPr>
          <w:p w14:paraId="0476A98D">
            <w:pPr>
              <w:rPr>
                <w:rFonts w:asciiTheme="majorBidi" w:hAnsiTheme="majorBidi" w:cstheme="majorBidi"/>
                <w:sz w:val="32"/>
                <w:szCs w:val="32"/>
              </w:rPr>
            </w:pPr>
            <w:r>
              <w:rPr>
                <w:rFonts w:asciiTheme="majorBidi" w:hAnsiTheme="majorBidi" w:cstheme="majorBidi"/>
                <w:b/>
                <w:bCs/>
                <w:sz w:val="22"/>
                <w:szCs w:val="22"/>
              </w:rPr>
              <w:t>Category</w:t>
            </w:r>
          </w:p>
        </w:tc>
        <w:tc>
          <w:tcPr>
            <w:tcW w:w="6050" w:type="dxa"/>
            <w:shd w:val="clear" w:color="auto" w:fill="D9E2F3"/>
            <w:tcMar>
              <w:top w:w="90" w:type="dxa"/>
              <w:left w:w="90" w:type="dxa"/>
              <w:bottom w:w="90" w:type="dxa"/>
              <w:right w:w="90" w:type="dxa"/>
            </w:tcMar>
          </w:tcPr>
          <w:p w14:paraId="4FA55820">
            <w:pPr>
              <w:rPr>
                <w:rFonts w:asciiTheme="majorBidi" w:hAnsiTheme="majorBidi" w:cstheme="majorBidi"/>
                <w:sz w:val="32"/>
                <w:szCs w:val="32"/>
              </w:rPr>
            </w:pPr>
            <w:r>
              <w:rPr>
                <w:rFonts w:asciiTheme="majorBidi" w:hAnsiTheme="majorBidi" w:cstheme="majorBidi"/>
                <w:b/>
                <w:bCs/>
                <w:sz w:val="22"/>
                <w:szCs w:val="22"/>
              </w:rPr>
              <w:t>Operational definition</w:t>
            </w:r>
          </w:p>
        </w:tc>
      </w:tr>
      <w:tr w14:paraId="20CC1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300" w:type="dxa"/>
            <w:tcMar>
              <w:top w:w="90" w:type="dxa"/>
              <w:left w:w="90" w:type="dxa"/>
              <w:bottom w:w="90" w:type="dxa"/>
              <w:right w:w="90" w:type="dxa"/>
            </w:tcMar>
          </w:tcPr>
          <w:p w14:paraId="1F75C51E">
            <w:pPr>
              <w:rPr>
                <w:rFonts w:asciiTheme="majorBidi" w:hAnsiTheme="majorBidi" w:cstheme="majorBidi"/>
                <w:sz w:val="32"/>
                <w:szCs w:val="32"/>
              </w:rPr>
            </w:pPr>
            <w:r>
              <w:rPr>
                <w:rFonts w:asciiTheme="majorBidi" w:hAnsiTheme="majorBidi" w:cstheme="majorBidi"/>
                <w:sz w:val="22"/>
                <w:szCs w:val="22"/>
              </w:rPr>
              <w:t>Crisis acknowledgement</w:t>
            </w:r>
          </w:p>
        </w:tc>
        <w:tc>
          <w:tcPr>
            <w:tcW w:w="6050" w:type="dxa"/>
            <w:tcMar>
              <w:top w:w="90" w:type="dxa"/>
              <w:left w:w="90" w:type="dxa"/>
              <w:bottom w:w="90" w:type="dxa"/>
              <w:right w:w="90" w:type="dxa"/>
            </w:tcMar>
          </w:tcPr>
          <w:p w14:paraId="111D528B">
            <w:pPr>
              <w:rPr>
                <w:rFonts w:asciiTheme="majorBidi" w:hAnsiTheme="majorBidi" w:cstheme="majorBidi"/>
                <w:sz w:val="32"/>
                <w:szCs w:val="32"/>
              </w:rPr>
            </w:pPr>
            <w:r>
              <w:rPr>
                <w:rFonts w:asciiTheme="majorBidi" w:hAnsiTheme="majorBidi" w:cstheme="majorBidi"/>
                <w:sz w:val="22"/>
                <w:szCs w:val="22"/>
              </w:rPr>
              <w:t>Explicit confirmation that a breach occurred.</w:t>
            </w:r>
          </w:p>
        </w:tc>
      </w:tr>
      <w:tr w14:paraId="6B85D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300" w:type="dxa"/>
            <w:tcMar>
              <w:top w:w="90" w:type="dxa"/>
              <w:left w:w="90" w:type="dxa"/>
              <w:bottom w:w="90" w:type="dxa"/>
              <w:right w:w="90" w:type="dxa"/>
            </w:tcMar>
          </w:tcPr>
          <w:p w14:paraId="6A8DF7C8">
            <w:pPr>
              <w:rPr>
                <w:rFonts w:asciiTheme="majorBidi" w:hAnsiTheme="majorBidi" w:cstheme="majorBidi"/>
                <w:sz w:val="32"/>
                <w:szCs w:val="32"/>
              </w:rPr>
            </w:pPr>
            <w:r>
              <w:rPr>
                <w:rFonts w:asciiTheme="majorBidi" w:hAnsiTheme="majorBidi" w:cstheme="majorBidi"/>
                <w:sz w:val="22"/>
                <w:szCs w:val="22"/>
              </w:rPr>
              <w:t>Impact/scale disclosure</w:t>
            </w:r>
          </w:p>
        </w:tc>
        <w:tc>
          <w:tcPr>
            <w:tcW w:w="6050" w:type="dxa"/>
            <w:tcMar>
              <w:top w:w="90" w:type="dxa"/>
              <w:left w:w="90" w:type="dxa"/>
              <w:bottom w:w="90" w:type="dxa"/>
              <w:right w:w="90" w:type="dxa"/>
            </w:tcMar>
          </w:tcPr>
          <w:p w14:paraId="35C21D44">
            <w:pPr>
              <w:rPr>
                <w:rFonts w:asciiTheme="majorBidi" w:hAnsiTheme="majorBidi" w:cstheme="majorBidi"/>
                <w:sz w:val="32"/>
                <w:szCs w:val="32"/>
              </w:rPr>
            </w:pPr>
            <w:r>
              <w:rPr>
                <w:rFonts w:asciiTheme="majorBidi" w:hAnsiTheme="majorBidi" w:cstheme="majorBidi"/>
                <w:sz w:val="22"/>
                <w:szCs w:val="22"/>
              </w:rPr>
              <w:t>Specification of the categories and approximate volume of data/people affected.</w:t>
            </w:r>
          </w:p>
        </w:tc>
      </w:tr>
      <w:tr w14:paraId="1BA54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300" w:type="dxa"/>
            <w:tcMar>
              <w:top w:w="90" w:type="dxa"/>
              <w:left w:w="90" w:type="dxa"/>
              <w:bottom w:w="90" w:type="dxa"/>
              <w:right w:w="90" w:type="dxa"/>
            </w:tcMar>
          </w:tcPr>
          <w:p w14:paraId="5BBC02F4">
            <w:pPr>
              <w:rPr>
                <w:rFonts w:asciiTheme="majorBidi" w:hAnsiTheme="majorBidi" w:cstheme="majorBidi"/>
                <w:sz w:val="32"/>
                <w:szCs w:val="32"/>
              </w:rPr>
            </w:pPr>
            <w:r>
              <w:rPr>
                <w:rFonts w:asciiTheme="majorBidi" w:hAnsiTheme="majorBidi" w:cstheme="majorBidi"/>
                <w:sz w:val="22"/>
                <w:szCs w:val="22"/>
              </w:rPr>
              <w:t>Documented response interval</w:t>
            </w:r>
          </w:p>
        </w:tc>
        <w:tc>
          <w:tcPr>
            <w:tcW w:w="6050" w:type="dxa"/>
            <w:tcMar>
              <w:top w:w="90" w:type="dxa"/>
              <w:left w:w="90" w:type="dxa"/>
              <w:bottom w:w="90" w:type="dxa"/>
              <w:right w:w="90" w:type="dxa"/>
            </w:tcMar>
          </w:tcPr>
          <w:p w14:paraId="679566E9">
            <w:pPr>
              <w:rPr>
                <w:rFonts w:asciiTheme="majorBidi" w:hAnsiTheme="majorBidi" w:cstheme="majorBidi"/>
                <w:sz w:val="32"/>
                <w:szCs w:val="32"/>
              </w:rPr>
            </w:pPr>
            <w:r>
              <w:rPr>
                <w:rFonts w:asciiTheme="majorBidi" w:hAnsiTheme="majorBidi" w:cstheme="majorBidi"/>
                <w:sz w:val="22"/>
                <w:szCs w:val="22"/>
              </w:rPr>
              <w:t>Time elapsed between two documented timestamps (e.g., detection to public disclosure); computed only where both dates are organization-confirmed.</w:t>
            </w:r>
          </w:p>
        </w:tc>
      </w:tr>
      <w:tr w14:paraId="4F751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300" w:type="dxa"/>
            <w:tcMar>
              <w:top w:w="90" w:type="dxa"/>
              <w:left w:w="90" w:type="dxa"/>
              <w:bottom w:w="90" w:type="dxa"/>
              <w:right w:w="90" w:type="dxa"/>
            </w:tcMar>
          </w:tcPr>
          <w:p w14:paraId="70E1336E">
            <w:pPr>
              <w:rPr>
                <w:rFonts w:asciiTheme="majorBidi" w:hAnsiTheme="majorBidi" w:cstheme="majorBidi"/>
                <w:sz w:val="32"/>
                <w:szCs w:val="32"/>
              </w:rPr>
            </w:pPr>
            <w:r>
              <w:rPr>
                <w:rFonts w:asciiTheme="majorBidi" w:hAnsiTheme="majorBidi" w:cstheme="majorBidi"/>
                <w:sz w:val="22"/>
                <w:szCs w:val="22"/>
              </w:rPr>
              <w:t>Technical explanation</w:t>
            </w:r>
          </w:p>
        </w:tc>
        <w:tc>
          <w:tcPr>
            <w:tcW w:w="6050" w:type="dxa"/>
            <w:tcMar>
              <w:top w:w="90" w:type="dxa"/>
              <w:left w:w="90" w:type="dxa"/>
              <w:bottom w:w="90" w:type="dxa"/>
              <w:right w:w="90" w:type="dxa"/>
            </w:tcMar>
          </w:tcPr>
          <w:p w14:paraId="79AA5D90">
            <w:pPr>
              <w:rPr>
                <w:rFonts w:asciiTheme="majorBidi" w:hAnsiTheme="majorBidi" w:cstheme="majorBidi"/>
                <w:sz w:val="32"/>
                <w:szCs w:val="32"/>
              </w:rPr>
            </w:pPr>
            <w:r>
              <w:rPr>
                <w:rFonts w:asciiTheme="majorBidi" w:hAnsiTheme="majorBidi" w:cstheme="majorBidi"/>
                <w:sz w:val="22"/>
                <w:szCs w:val="22"/>
              </w:rPr>
              <w:t>Specificity about the breach mechanism (e.g., vulnerability, attack vector).</w:t>
            </w:r>
          </w:p>
        </w:tc>
      </w:tr>
      <w:tr w14:paraId="63B7C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300" w:type="dxa"/>
            <w:tcMar>
              <w:top w:w="90" w:type="dxa"/>
              <w:left w:w="90" w:type="dxa"/>
              <w:bottom w:w="90" w:type="dxa"/>
              <w:right w:w="90" w:type="dxa"/>
            </w:tcMar>
          </w:tcPr>
          <w:p w14:paraId="2415CCB7">
            <w:pPr>
              <w:rPr>
                <w:rFonts w:asciiTheme="majorBidi" w:hAnsiTheme="majorBidi" w:cstheme="majorBidi"/>
                <w:sz w:val="32"/>
                <w:szCs w:val="32"/>
              </w:rPr>
            </w:pPr>
            <w:r>
              <w:rPr>
                <w:rFonts w:asciiTheme="majorBidi" w:hAnsiTheme="majorBidi" w:cstheme="majorBidi"/>
                <w:sz w:val="22"/>
                <w:szCs w:val="22"/>
              </w:rPr>
              <w:t>Responsibility framing</w:t>
            </w:r>
          </w:p>
        </w:tc>
        <w:tc>
          <w:tcPr>
            <w:tcW w:w="6050" w:type="dxa"/>
            <w:tcMar>
              <w:top w:w="90" w:type="dxa"/>
              <w:left w:w="90" w:type="dxa"/>
              <w:bottom w:w="90" w:type="dxa"/>
              <w:right w:w="90" w:type="dxa"/>
            </w:tcMar>
          </w:tcPr>
          <w:p w14:paraId="7977631B">
            <w:pPr>
              <w:rPr>
                <w:rFonts w:asciiTheme="majorBidi" w:hAnsiTheme="majorBidi" w:cstheme="majorBidi"/>
                <w:sz w:val="32"/>
                <w:szCs w:val="32"/>
              </w:rPr>
            </w:pPr>
            <w:r>
              <w:rPr>
                <w:rFonts w:asciiTheme="majorBidi" w:hAnsiTheme="majorBidi" w:cstheme="majorBidi"/>
                <w:sz w:val="22"/>
                <w:szCs w:val="22"/>
              </w:rPr>
              <w:t>Whether the organization frames itself as accountable, as a victim of external attack, or both.</w:t>
            </w:r>
          </w:p>
        </w:tc>
      </w:tr>
      <w:tr w14:paraId="50D40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300" w:type="dxa"/>
            <w:tcMar>
              <w:top w:w="90" w:type="dxa"/>
              <w:left w:w="90" w:type="dxa"/>
              <w:bottom w:w="90" w:type="dxa"/>
              <w:right w:w="90" w:type="dxa"/>
            </w:tcMar>
          </w:tcPr>
          <w:p w14:paraId="30ACE1AD">
            <w:pPr>
              <w:rPr>
                <w:rFonts w:asciiTheme="majorBidi" w:hAnsiTheme="majorBidi" w:cstheme="majorBidi"/>
                <w:sz w:val="32"/>
                <w:szCs w:val="32"/>
              </w:rPr>
            </w:pPr>
            <w:r>
              <w:rPr>
                <w:rFonts w:asciiTheme="majorBidi" w:hAnsiTheme="majorBidi" w:cstheme="majorBidi"/>
                <w:sz w:val="22"/>
                <w:szCs w:val="22"/>
              </w:rPr>
              <w:t>Corrective action</w:t>
            </w:r>
          </w:p>
        </w:tc>
        <w:tc>
          <w:tcPr>
            <w:tcW w:w="6050" w:type="dxa"/>
            <w:tcMar>
              <w:top w:w="90" w:type="dxa"/>
              <w:left w:w="90" w:type="dxa"/>
              <w:bottom w:w="90" w:type="dxa"/>
              <w:right w:w="90" w:type="dxa"/>
            </w:tcMar>
          </w:tcPr>
          <w:p w14:paraId="609DBBC2">
            <w:pPr>
              <w:rPr>
                <w:rFonts w:asciiTheme="majorBidi" w:hAnsiTheme="majorBidi" w:cstheme="majorBidi"/>
                <w:sz w:val="32"/>
                <w:szCs w:val="32"/>
              </w:rPr>
            </w:pPr>
            <w:r>
              <w:rPr>
                <w:rFonts w:asciiTheme="majorBidi" w:hAnsiTheme="majorBidi" w:cstheme="majorBidi"/>
                <w:sz w:val="22"/>
                <w:szCs w:val="22"/>
              </w:rPr>
              <w:t>Presence and specificity of remediation and hardening measures.</w:t>
            </w:r>
          </w:p>
        </w:tc>
      </w:tr>
      <w:tr w14:paraId="04EAD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300" w:type="dxa"/>
            <w:tcMar>
              <w:top w:w="90" w:type="dxa"/>
              <w:left w:w="90" w:type="dxa"/>
              <w:bottom w:w="90" w:type="dxa"/>
              <w:right w:w="90" w:type="dxa"/>
            </w:tcMar>
          </w:tcPr>
          <w:p w14:paraId="7FEB6B97">
            <w:pPr>
              <w:rPr>
                <w:rFonts w:asciiTheme="majorBidi" w:hAnsiTheme="majorBidi" w:cstheme="majorBidi"/>
                <w:sz w:val="32"/>
                <w:szCs w:val="32"/>
              </w:rPr>
            </w:pPr>
            <w:r>
              <w:rPr>
                <w:rFonts w:asciiTheme="majorBidi" w:hAnsiTheme="majorBidi" w:cstheme="majorBidi"/>
                <w:sz w:val="22"/>
                <w:szCs w:val="22"/>
              </w:rPr>
              <w:t>Beneficiary-directed protection guidance</w:t>
            </w:r>
          </w:p>
        </w:tc>
        <w:tc>
          <w:tcPr>
            <w:tcW w:w="6050" w:type="dxa"/>
            <w:tcMar>
              <w:top w:w="90" w:type="dxa"/>
              <w:left w:w="90" w:type="dxa"/>
              <w:bottom w:w="90" w:type="dxa"/>
              <w:right w:w="90" w:type="dxa"/>
            </w:tcMar>
          </w:tcPr>
          <w:p w14:paraId="5B5BCE73">
            <w:pPr>
              <w:rPr>
                <w:rFonts w:asciiTheme="majorBidi" w:hAnsiTheme="majorBidi" w:cstheme="majorBidi"/>
                <w:sz w:val="32"/>
                <w:szCs w:val="32"/>
              </w:rPr>
            </w:pPr>
            <w:r>
              <w:rPr>
                <w:rFonts w:asciiTheme="majorBidi" w:hAnsiTheme="majorBidi" w:cstheme="majorBidi"/>
                <w:sz w:val="22"/>
                <w:szCs w:val="22"/>
              </w:rPr>
              <w:t>Concrete advice to affected individuals (e.g., fraud/impersonation warnings).</w:t>
            </w:r>
          </w:p>
        </w:tc>
      </w:tr>
      <w:tr w14:paraId="6128A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300" w:type="dxa"/>
            <w:tcMar>
              <w:top w:w="90" w:type="dxa"/>
              <w:left w:w="90" w:type="dxa"/>
              <w:bottom w:w="90" w:type="dxa"/>
              <w:right w:w="90" w:type="dxa"/>
            </w:tcMar>
          </w:tcPr>
          <w:p w14:paraId="0BAC39C8">
            <w:pPr>
              <w:rPr>
                <w:rFonts w:asciiTheme="majorBidi" w:hAnsiTheme="majorBidi" w:cstheme="majorBidi"/>
                <w:sz w:val="32"/>
                <w:szCs w:val="32"/>
              </w:rPr>
            </w:pPr>
            <w:r>
              <w:rPr>
                <w:rFonts w:asciiTheme="majorBidi" w:hAnsiTheme="majorBidi" w:cstheme="majorBidi"/>
                <w:sz w:val="22"/>
                <w:szCs w:val="22"/>
              </w:rPr>
              <w:t>Protection-bounded transparency</w:t>
            </w:r>
          </w:p>
        </w:tc>
        <w:tc>
          <w:tcPr>
            <w:tcW w:w="6050" w:type="dxa"/>
            <w:tcMar>
              <w:top w:w="90" w:type="dxa"/>
              <w:left w:w="90" w:type="dxa"/>
              <w:bottom w:w="90" w:type="dxa"/>
              <w:right w:w="90" w:type="dxa"/>
            </w:tcMar>
          </w:tcPr>
          <w:p w14:paraId="28509DA2">
            <w:pPr>
              <w:rPr>
                <w:rFonts w:asciiTheme="majorBidi" w:hAnsiTheme="majorBidi" w:cstheme="majorBidi"/>
                <w:sz w:val="32"/>
                <w:szCs w:val="32"/>
              </w:rPr>
            </w:pPr>
            <w:r>
              <w:rPr>
                <w:rFonts w:asciiTheme="majorBidi" w:hAnsiTheme="majorBidi" w:cstheme="majorBidi"/>
                <w:sz w:val="22"/>
                <w:szCs w:val="22"/>
              </w:rPr>
              <w:t>Explicit statement that certain details are withheld because disclosure could increase risk to affected people.</w:t>
            </w:r>
          </w:p>
        </w:tc>
      </w:tr>
      <w:tr w14:paraId="66823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300" w:type="dxa"/>
            <w:tcMar>
              <w:top w:w="90" w:type="dxa"/>
              <w:left w:w="90" w:type="dxa"/>
              <w:bottom w:w="90" w:type="dxa"/>
              <w:right w:w="90" w:type="dxa"/>
            </w:tcMar>
          </w:tcPr>
          <w:p w14:paraId="3A865A12">
            <w:pPr>
              <w:rPr>
                <w:rFonts w:asciiTheme="majorBidi" w:hAnsiTheme="majorBidi" w:cstheme="majorBidi"/>
                <w:sz w:val="32"/>
                <w:szCs w:val="32"/>
              </w:rPr>
            </w:pPr>
            <w:r>
              <w:rPr>
                <w:rFonts w:asciiTheme="majorBidi" w:hAnsiTheme="majorBidi" w:cstheme="majorBidi"/>
                <w:sz w:val="22"/>
                <w:szCs w:val="22"/>
              </w:rPr>
              <w:t>Service/mission continuity assurance</w:t>
            </w:r>
          </w:p>
        </w:tc>
        <w:tc>
          <w:tcPr>
            <w:tcW w:w="6050" w:type="dxa"/>
            <w:tcMar>
              <w:top w:w="90" w:type="dxa"/>
              <w:left w:w="90" w:type="dxa"/>
              <w:bottom w:w="90" w:type="dxa"/>
              <w:right w:w="90" w:type="dxa"/>
            </w:tcMar>
          </w:tcPr>
          <w:p w14:paraId="349682BD">
            <w:pPr>
              <w:rPr>
                <w:rFonts w:asciiTheme="majorBidi" w:hAnsiTheme="majorBidi" w:cstheme="majorBidi"/>
                <w:sz w:val="32"/>
                <w:szCs w:val="32"/>
              </w:rPr>
            </w:pPr>
            <w:r>
              <w:rPr>
                <w:rFonts w:asciiTheme="majorBidi" w:hAnsiTheme="majorBidi" w:cstheme="majorBidi"/>
                <w:sz w:val="22"/>
                <w:szCs w:val="22"/>
              </w:rPr>
              <w:t>Communication addressing whether and how humanitarian assistance continues despite the incident.</w:t>
            </w:r>
          </w:p>
        </w:tc>
      </w:tr>
      <w:tr w14:paraId="12640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300" w:type="dxa"/>
            <w:tcMar>
              <w:top w:w="90" w:type="dxa"/>
              <w:left w:w="90" w:type="dxa"/>
              <w:bottom w:w="90" w:type="dxa"/>
              <w:right w:w="90" w:type="dxa"/>
            </w:tcMar>
          </w:tcPr>
          <w:p w14:paraId="43233C94">
            <w:pPr>
              <w:rPr>
                <w:rFonts w:asciiTheme="majorBidi" w:hAnsiTheme="majorBidi" w:cstheme="majorBidi"/>
                <w:sz w:val="32"/>
                <w:szCs w:val="32"/>
              </w:rPr>
            </w:pPr>
            <w:r>
              <w:rPr>
                <w:rFonts w:asciiTheme="majorBidi" w:hAnsiTheme="majorBidi" w:cstheme="majorBidi"/>
                <w:sz w:val="22"/>
                <w:szCs w:val="22"/>
              </w:rPr>
              <w:t>Uncertainty management</w:t>
            </w:r>
          </w:p>
        </w:tc>
        <w:tc>
          <w:tcPr>
            <w:tcW w:w="6050" w:type="dxa"/>
            <w:tcMar>
              <w:top w:w="90" w:type="dxa"/>
              <w:left w:w="90" w:type="dxa"/>
              <w:bottom w:w="90" w:type="dxa"/>
              <w:right w:w="90" w:type="dxa"/>
            </w:tcMar>
          </w:tcPr>
          <w:p w14:paraId="6C2139DF">
            <w:pPr>
              <w:rPr>
                <w:rFonts w:asciiTheme="majorBidi" w:hAnsiTheme="majorBidi" w:cstheme="majorBidi"/>
                <w:sz w:val="32"/>
                <w:szCs w:val="32"/>
              </w:rPr>
            </w:pPr>
            <w:r>
              <w:rPr>
                <w:rFonts w:asciiTheme="majorBidi" w:hAnsiTheme="majorBidi" w:cstheme="majorBidi"/>
                <w:sz w:val="22"/>
                <w:szCs w:val="22"/>
              </w:rPr>
              <w:t>Explicit distinction between what is known, unknown, and still under investigation.</w:t>
            </w:r>
          </w:p>
        </w:tc>
      </w:tr>
      <w:tr w14:paraId="23EA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300" w:type="dxa"/>
            <w:tcMar>
              <w:top w:w="90" w:type="dxa"/>
              <w:left w:w="90" w:type="dxa"/>
              <w:bottom w:w="90" w:type="dxa"/>
              <w:right w:w="90" w:type="dxa"/>
            </w:tcMar>
          </w:tcPr>
          <w:p w14:paraId="0CAAB6BB">
            <w:pPr>
              <w:rPr>
                <w:rFonts w:asciiTheme="majorBidi" w:hAnsiTheme="majorBidi" w:cstheme="majorBidi"/>
                <w:sz w:val="32"/>
                <w:szCs w:val="32"/>
              </w:rPr>
            </w:pPr>
            <w:r>
              <w:rPr>
                <w:rFonts w:asciiTheme="majorBidi" w:hAnsiTheme="majorBidi" w:cstheme="majorBidi"/>
                <w:sz w:val="22"/>
                <w:szCs w:val="22"/>
              </w:rPr>
              <w:t>Stakeholder/channel differentiation</w:t>
            </w:r>
          </w:p>
        </w:tc>
        <w:tc>
          <w:tcPr>
            <w:tcW w:w="6050" w:type="dxa"/>
            <w:tcMar>
              <w:top w:w="90" w:type="dxa"/>
              <w:left w:w="90" w:type="dxa"/>
              <w:bottom w:w="90" w:type="dxa"/>
              <w:right w:w="90" w:type="dxa"/>
            </w:tcMar>
          </w:tcPr>
          <w:p w14:paraId="3902A9C8">
            <w:pPr>
              <w:rPr>
                <w:rFonts w:asciiTheme="majorBidi" w:hAnsiTheme="majorBidi" w:cstheme="majorBidi"/>
                <w:sz w:val="32"/>
                <w:szCs w:val="32"/>
              </w:rPr>
            </w:pPr>
            <w:r>
              <w:rPr>
                <w:rFonts w:asciiTheme="majorBidi" w:hAnsiTheme="majorBidi" w:cstheme="majorBidi"/>
                <w:sz w:val="22"/>
                <w:szCs w:val="22"/>
              </w:rPr>
              <w:t>Distinct messaging or channels for beneficiaries, donors, partners, and media.</w:t>
            </w:r>
          </w:p>
        </w:tc>
      </w:tr>
      <w:tr w14:paraId="02009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300" w:type="dxa"/>
            <w:tcMar>
              <w:top w:w="90" w:type="dxa"/>
              <w:left w:w="90" w:type="dxa"/>
              <w:bottom w:w="90" w:type="dxa"/>
              <w:right w:w="90" w:type="dxa"/>
            </w:tcMar>
          </w:tcPr>
          <w:p w14:paraId="2837D70E">
            <w:pPr>
              <w:rPr>
                <w:rFonts w:asciiTheme="majorBidi" w:hAnsiTheme="majorBidi" w:cstheme="majorBidi"/>
                <w:sz w:val="32"/>
                <w:szCs w:val="32"/>
              </w:rPr>
            </w:pPr>
            <w:r>
              <w:rPr>
                <w:rFonts w:asciiTheme="majorBidi" w:hAnsiTheme="majorBidi" w:cstheme="majorBidi"/>
                <w:sz w:val="22"/>
                <w:szCs w:val="22"/>
              </w:rPr>
              <w:t>Longitudinal follow-up</w:t>
            </w:r>
          </w:p>
        </w:tc>
        <w:tc>
          <w:tcPr>
            <w:tcW w:w="6050" w:type="dxa"/>
            <w:tcMar>
              <w:top w:w="90" w:type="dxa"/>
              <w:left w:w="90" w:type="dxa"/>
              <w:bottom w:w="90" w:type="dxa"/>
              <w:right w:w="90" w:type="dxa"/>
            </w:tcMar>
          </w:tcPr>
          <w:p w14:paraId="5546F8E6">
            <w:pPr>
              <w:rPr>
                <w:rFonts w:asciiTheme="majorBidi" w:hAnsiTheme="majorBidi" w:cstheme="majorBidi"/>
                <w:sz w:val="32"/>
                <w:szCs w:val="32"/>
              </w:rPr>
            </w:pPr>
            <w:r>
              <w:rPr>
                <w:rFonts w:asciiTheme="majorBidi" w:hAnsiTheme="majorBidi" w:cstheme="majorBidi"/>
                <w:sz w:val="22"/>
                <w:szCs w:val="22"/>
              </w:rPr>
              <w:t>Presence of dated updates beyond the initial disclosure.</w:t>
            </w:r>
          </w:p>
        </w:tc>
      </w:tr>
    </w:tbl>
    <w:p w14:paraId="1E415AAA">
      <w:pPr>
        <w:spacing w:before="60" w:after="180"/>
      </w:pPr>
      <w:r>
        <w:rPr>
          <w:i/>
          <w:sz w:val="18"/>
        </w:rPr>
        <w:t>Source: Author's own codebook, developed inductively from the ICRC and WFP corpus (Section 12).</w:t>
      </w:r>
    </w:p>
    <w:p w14:paraId="118ED1C7">
      <w:pPr>
        <w:spacing w:after="200" w:line="360" w:lineRule="auto"/>
        <w:jc w:val="both"/>
        <w:rPr>
          <w:rFonts w:asciiTheme="majorBidi" w:hAnsiTheme="majorBidi" w:cstheme="majorBidi"/>
          <w:sz w:val="32"/>
          <w:szCs w:val="32"/>
        </w:rPr>
      </w:pPr>
      <w:r>
        <w:rPr>
          <w:rFonts w:asciiTheme="majorBidi" w:hAnsiTheme="majorBidi" w:cstheme="majorBidi"/>
          <w:sz w:val="32"/>
          <w:szCs w:val="32"/>
        </w:rPr>
        <w:t xml:space="preserve"> </w:t>
      </w:r>
    </w:p>
    <w:p w14:paraId="2DB387A7">
      <w:pPr>
        <w:pStyle w:val="2"/>
        <w:spacing w:before="360" w:after="160"/>
        <w:rPr>
          <w:rFonts w:asciiTheme="majorBidi" w:hAnsiTheme="majorBidi" w:cstheme="majorBidi"/>
          <w:sz w:val="40"/>
          <w:szCs w:val="40"/>
        </w:rPr>
      </w:pPr>
      <w:r>
        <w:rPr>
          <w:rFonts w:asciiTheme="majorBidi" w:hAnsiTheme="majorBidi" w:cstheme="majorBidi"/>
          <w:b/>
          <w:bCs/>
          <w:sz w:val="36"/>
          <w:szCs w:val="36"/>
        </w:rPr>
        <w:t>11. Verified Comparative Timeline</w:t>
      </w:r>
    </w:p>
    <w:p w14:paraId="772623B3">
      <w:pPr>
        <w:spacing w:after="200" w:line="360" w:lineRule="auto"/>
        <w:jc w:val="both"/>
        <w:rPr>
          <w:rFonts w:asciiTheme="majorBidi" w:hAnsiTheme="majorBidi" w:cstheme="majorBidi"/>
          <w:sz w:val="32"/>
          <w:szCs w:val="32"/>
        </w:rPr>
      </w:pPr>
      <w:r>
        <w:rPr>
          <w:rFonts w:asciiTheme="majorBidi" w:hAnsiTheme="majorBidi" w:cstheme="majorBidi"/>
          <w:sz w:val="32"/>
          <w:szCs w:val="32"/>
        </w:rPr>
        <w:t>The table below distinguishes intrusion, detection, and disclosure as separate, non-interchangeable events, following the correction that a single undifferentiated "breach date" conflates analytically distinct moments.</w:t>
      </w:r>
    </w:p>
    <w:p w14:paraId="4B1E6A46">
      <w:pPr>
        <w:spacing w:before="180" w:after="60"/>
      </w:pPr>
      <w:r>
        <w:rPr>
          <w:b/>
          <w:sz w:val="20"/>
        </w:rPr>
        <w:t>Table 5. Verified Comparative Timeline (ICRC 2022 vs. WFP 2026)</w:t>
      </w:r>
    </w:p>
    <w:tbl>
      <w:tblPr>
        <w:tblStyle w:val="9"/>
        <w:tblW w:w="9800" w:type="dxa"/>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3600"/>
        <w:gridCol w:w="3600"/>
      </w:tblGrid>
      <w:tr w14:paraId="44CDF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shd w:val="clear" w:color="auto" w:fill="D9E2F3"/>
            <w:tcMar>
              <w:top w:w="90" w:type="dxa"/>
              <w:left w:w="90" w:type="dxa"/>
              <w:bottom w:w="90" w:type="dxa"/>
              <w:right w:w="90" w:type="dxa"/>
            </w:tcMar>
          </w:tcPr>
          <w:p w14:paraId="78523F89">
            <w:pPr>
              <w:rPr>
                <w:rFonts w:asciiTheme="majorBidi" w:hAnsiTheme="majorBidi" w:cstheme="majorBidi"/>
                <w:sz w:val="32"/>
                <w:szCs w:val="32"/>
              </w:rPr>
            </w:pPr>
            <w:r>
              <w:rPr>
                <w:rFonts w:asciiTheme="majorBidi" w:hAnsiTheme="majorBidi" w:cstheme="majorBidi"/>
                <w:b/>
                <w:bCs/>
                <w:sz w:val="22"/>
                <w:szCs w:val="22"/>
              </w:rPr>
              <w:t>Event</w:t>
            </w:r>
          </w:p>
        </w:tc>
        <w:tc>
          <w:tcPr>
            <w:tcW w:w="3600" w:type="dxa"/>
            <w:shd w:val="clear" w:color="auto" w:fill="D9E2F3"/>
            <w:tcMar>
              <w:top w:w="90" w:type="dxa"/>
              <w:left w:w="90" w:type="dxa"/>
              <w:bottom w:w="90" w:type="dxa"/>
              <w:right w:w="90" w:type="dxa"/>
            </w:tcMar>
          </w:tcPr>
          <w:p w14:paraId="76D2F73F">
            <w:pPr>
              <w:rPr>
                <w:rFonts w:asciiTheme="majorBidi" w:hAnsiTheme="majorBidi" w:cstheme="majorBidi"/>
                <w:sz w:val="32"/>
                <w:szCs w:val="32"/>
              </w:rPr>
            </w:pPr>
            <w:r>
              <w:rPr>
                <w:rFonts w:asciiTheme="majorBidi" w:hAnsiTheme="majorBidi" w:cstheme="majorBidi"/>
                <w:b/>
                <w:bCs/>
                <w:sz w:val="22"/>
                <w:szCs w:val="22"/>
              </w:rPr>
              <w:t>ICRC (2022)</w:t>
            </w:r>
          </w:p>
        </w:tc>
        <w:tc>
          <w:tcPr>
            <w:tcW w:w="3600" w:type="dxa"/>
            <w:shd w:val="clear" w:color="auto" w:fill="D9E2F3"/>
            <w:tcMar>
              <w:top w:w="90" w:type="dxa"/>
              <w:left w:w="90" w:type="dxa"/>
              <w:bottom w:w="90" w:type="dxa"/>
              <w:right w:w="90" w:type="dxa"/>
            </w:tcMar>
          </w:tcPr>
          <w:p w14:paraId="501D96B8">
            <w:pPr>
              <w:rPr>
                <w:rFonts w:asciiTheme="majorBidi" w:hAnsiTheme="majorBidi" w:cstheme="majorBidi"/>
                <w:sz w:val="32"/>
                <w:szCs w:val="32"/>
              </w:rPr>
            </w:pPr>
            <w:r>
              <w:rPr>
                <w:rFonts w:asciiTheme="majorBidi" w:hAnsiTheme="majorBidi" w:cstheme="majorBidi"/>
                <w:b/>
                <w:bCs/>
                <w:sz w:val="22"/>
                <w:szCs w:val="22"/>
              </w:rPr>
              <w:t>WFP (2026)</w:t>
            </w:r>
          </w:p>
        </w:tc>
      </w:tr>
      <w:tr w14:paraId="2C31B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Mar>
              <w:top w:w="90" w:type="dxa"/>
              <w:left w:w="90" w:type="dxa"/>
              <w:bottom w:w="90" w:type="dxa"/>
              <w:right w:w="90" w:type="dxa"/>
            </w:tcMar>
          </w:tcPr>
          <w:p w14:paraId="1819B241">
            <w:pPr>
              <w:rPr>
                <w:rFonts w:asciiTheme="majorBidi" w:hAnsiTheme="majorBidi" w:cstheme="majorBidi"/>
                <w:sz w:val="32"/>
                <w:szCs w:val="32"/>
              </w:rPr>
            </w:pPr>
            <w:r>
              <w:rPr>
                <w:rFonts w:asciiTheme="majorBidi" w:hAnsiTheme="majorBidi" w:cstheme="majorBidi"/>
                <w:sz w:val="22"/>
                <w:szCs w:val="22"/>
              </w:rPr>
              <w:t>Prior warning</w:t>
            </w:r>
          </w:p>
        </w:tc>
        <w:tc>
          <w:tcPr>
            <w:tcW w:w="3600" w:type="dxa"/>
            <w:tcMar>
              <w:top w:w="90" w:type="dxa"/>
              <w:left w:w="90" w:type="dxa"/>
              <w:bottom w:w="90" w:type="dxa"/>
              <w:right w:w="90" w:type="dxa"/>
            </w:tcMar>
          </w:tcPr>
          <w:p w14:paraId="2299BC9E">
            <w:pPr>
              <w:rPr>
                <w:rFonts w:asciiTheme="majorBidi" w:hAnsiTheme="majorBidi" w:cstheme="majorBidi"/>
                <w:sz w:val="32"/>
                <w:szCs w:val="32"/>
              </w:rPr>
            </w:pPr>
            <w:r>
              <w:rPr>
                <w:rFonts w:asciiTheme="majorBidi" w:hAnsiTheme="majorBidi" w:cstheme="majorBidi"/>
                <w:sz w:val="22"/>
                <w:szCs w:val="22"/>
              </w:rPr>
              <w:t>Not documented in available corpus</w:t>
            </w:r>
          </w:p>
        </w:tc>
        <w:tc>
          <w:tcPr>
            <w:tcW w:w="3600" w:type="dxa"/>
            <w:tcMar>
              <w:top w:w="90" w:type="dxa"/>
              <w:left w:w="90" w:type="dxa"/>
              <w:bottom w:w="90" w:type="dxa"/>
              <w:right w:w="90" w:type="dxa"/>
            </w:tcMar>
          </w:tcPr>
          <w:p w14:paraId="3DECFF30">
            <w:pPr>
              <w:rPr>
                <w:rFonts w:asciiTheme="majorBidi" w:hAnsiTheme="majorBidi" w:cstheme="majorBidi"/>
                <w:sz w:val="32"/>
                <w:szCs w:val="32"/>
              </w:rPr>
            </w:pPr>
            <w:r>
              <w:rPr>
                <w:rFonts w:asciiTheme="majorBidi" w:hAnsiTheme="majorBidi" w:cstheme="majorBidi"/>
                <w:sz w:val="22"/>
                <w:szCs w:val="22"/>
              </w:rPr>
              <w:t>Whistleblower alert to WFP's beneficiary feedback mechanism, 12 May 2026 (2 days pre-attack)</w:t>
            </w:r>
          </w:p>
        </w:tc>
      </w:tr>
      <w:tr w14:paraId="33F5C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Mar>
              <w:top w:w="90" w:type="dxa"/>
              <w:left w:w="90" w:type="dxa"/>
              <w:bottom w:w="90" w:type="dxa"/>
              <w:right w:w="90" w:type="dxa"/>
            </w:tcMar>
          </w:tcPr>
          <w:p w14:paraId="2EC789DB">
            <w:pPr>
              <w:rPr>
                <w:rFonts w:asciiTheme="majorBidi" w:hAnsiTheme="majorBidi" w:cstheme="majorBidi"/>
                <w:sz w:val="32"/>
                <w:szCs w:val="32"/>
              </w:rPr>
            </w:pPr>
            <w:r>
              <w:rPr>
                <w:rFonts w:asciiTheme="majorBidi" w:hAnsiTheme="majorBidi" w:cstheme="majorBidi"/>
                <w:sz w:val="22"/>
                <w:szCs w:val="22"/>
              </w:rPr>
              <w:t>Intrusion (technical)</w:t>
            </w:r>
          </w:p>
        </w:tc>
        <w:tc>
          <w:tcPr>
            <w:tcW w:w="3600" w:type="dxa"/>
            <w:tcMar>
              <w:top w:w="90" w:type="dxa"/>
              <w:left w:w="90" w:type="dxa"/>
              <w:bottom w:w="90" w:type="dxa"/>
              <w:right w:w="90" w:type="dxa"/>
            </w:tcMar>
          </w:tcPr>
          <w:p w14:paraId="3AA61EDB">
            <w:pPr>
              <w:rPr>
                <w:rFonts w:asciiTheme="majorBidi" w:hAnsiTheme="majorBidi" w:cstheme="majorBidi"/>
                <w:sz w:val="32"/>
                <w:szCs w:val="32"/>
              </w:rPr>
            </w:pPr>
            <w:r>
              <w:rPr>
                <w:rFonts w:asciiTheme="majorBidi" w:hAnsiTheme="majorBidi" w:cstheme="majorBidi"/>
                <w:sz w:val="22"/>
                <w:szCs w:val="22"/>
              </w:rPr>
              <w:t>9 November 2021 (per ICRC's own post-incident analysis)</w:t>
            </w:r>
          </w:p>
        </w:tc>
        <w:tc>
          <w:tcPr>
            <w:tcW w:w="3600" w:type="dxa"/>
            <w:tcMar>
              <w:top w:w="90" w:type="dxa"/>
              <w:left w:w="90" w:type="dxa"/>
              <w:bottom w:w="90" w:type="dxa"/>
              <w:right w:w="90" w:type="dxa"/>
            </w:tcMar>
          </w:tcPr>
          <w:p w14:paraId="2168C1A7">
            <w:pPr>
              <w:rPr>
                <w:rFonts w:asciiTheme="majorBidi" w:hAnsiTheme="majorBidi" w:cstheme="majorBidi"/>
                <w:sz w:val="32"/>
                <w:szCs w:val="32"/>
              </w:rPr>
            </w:pPr>
            <w:r>
              <w:rPr>
                <w:rFonts w:asciiTheme="majorBidi" w:hAnsiTheme="majorBidi" w:cstheme="majorBidi"/>
                <w:sz w:val="22"/>
                <w:szCs w:val="22"/>
              </w:rPr>
              <w:t>14 May 2026</w:t>
            </w:r>
          </w:p>
        </w:tc>
      </w:tr>
      <w:tr w14:paraId="460E3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Mar>
              <w:top w:w="90" w:type="dxa"/>
              <w:left w:w="90" w:type="dxa"/>
              <w:bottom w:w="90" w:type="dxa"/>
              <w:right w:w="90" w:type="dxa"/>
            </w:tcMar>
          </w:tcPr>
          <w:p w14:paraId="5E240517">
            <w:pPr>
              <w:rPr>
                <w:rFonts w:asciiTheme="majorBidi" w:hAnsiTheme="majorBidi" w:cstheme="majorBidi"/>
                <w:sz w:val="32"/>
                <w:szCs w:val="32"/>
              </w:rPr>
            </w:pPr>
            <w:r>
              <w:rPr>
                <w:rFonts w:asciiTheme="majorBidi" w:hAnsiTheme="majorBidi" w:cstheme="majorBidi"/>
                <w:sz w:val="22"/>
                <w:szCs w:val="22"/>
              </w:rPr>
              <w:t>Internal detection/confirmation</w:t>
            </w:r>
          </w:p>
        </w:tc>
        <w:tc>
          <w:tcPr>
            <w:tcW w:w="3600" w:type="dxa"/>
            <w:tcMar>
              <w:top w:w="90" w:type="dxa"/>
              <w:left w:w="90" w:type="dxa"/>
              <w:bottom w:w="90" w:type="dxa"/>
              <w:right w:w="90" w:type="dxa"/>
            </w:tcMar>
          </w:tcPr>
          <w:p w14:paraId="00B0DDAA">
            <w:pPr>
              <w:rPr>
                <w:rFonts w:asciiTheme="majorBidi" w:hAnsiTheme="majorBidi" w:cstheme="majorBidi"/>
                <w:sz w:val="32"/>
                <w:szCs w:val="32"/>
              </w:rPr>
            </w:pPr>
            <w:r>
              <w:rPr>
                <w:rFonts w:asciiTheme="majorBidi" w:hAnsiTheme="majorBidi" w:cstheme="majorBidi"/>
                <w:sz w:val="22"/>
                <w:szCs w:val="22"/>
              </w:rPr>
              <w:t>18 January 2022</w:t>
            </w:r>
          </w:p>
        </w:tc>
        <w:tc>
          <w:tcPr>
            <w:tcW w:w="3600" w:type="dxa"/>
            <w:tcMar>
              <w:top w:w="90" w:type="dxa"/>
              <w:left w:w="90" w:type="dxa"/>
              <w:bottom w:w="90" w:type="dxa"/>
              <w:right w:w="90" w:type="dxa"/>
            </w:tcMar>
          </w:tcPr>
          <w:p w14:paraId="466C7159">
            <w:pPr>
              <w:rPr>
                <w:rFonts w:asciiTheme="majorBidi" w:hAnsiTheme="majorBidi" w:cstheme="majorBidi"/>
                <w:sz w:val="32"/>
                <w:szCs w:val="32"/>
              </w:rPr>
            </w:pPr>
            <w:r>
              <w:rPr>
                <w:rFonts w:asciiTheme="majorBidi" w:hAnsiTheme="majorBidi" w:cstheme="majorBidi"/>
                <w:sz w:val="22"/>
                <w:szCs w:val="22"/>
              </w:rPr>
              <w:t>14 May 2026 (same date per WFP statement; detection-vs-intrusion gap not separately specified by WFP)</w:t>
            </w:r>
          </w:p>
        </w:tc>
      </w:tr>
      <w:tr w14:paraId="6C989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Mar>
              <w:top w:w="90" w:type="dxa"/>
              <w:left w:w="90" w:type="dxa"/>
              <w:bottom w:w="90" w:type="dxa"/>
              <w:right w:w="90" w:type="dxa"/>
            </w:tcMar>
          </w:tcPr>
          <w:p w14:paraId="6F82E694">
            <w:pPr>
              <w:rPr>
                <w:rFonts w:asciiTheme="majorBidi" w:hAnsiTheme="majorBidi" w:cstheme="majorBidi"/>
                <w:sz w:val="32"/>
                <w:szCs w:val="32"/>
              </w:rPr>
            </w:pPr>
            <w:r>
              <w:rPr>
                <w:rFonts w:asciiTheme="majorBidi" w:hAnsiTheme="majorBidi" w:cstheme="majorBidi"/>
                <w:sz w:val="22"/>
                <w:szCs w:val="22"/>
              </w:rPr>
              <w:t>First public disclosure</w:t>
            </w:r>
          </w:p>
        </w:tc>
        <w:tc>
          <w:tcPr>
            <w:tcW w:w="3600" w:type="dxa"/>
            <w:tcMar>
              <w:top w:w="90" w:type="dxa"/>
              <w:left w:w="90" w:type="dxa"/>
              <w:bottom w:w="90" w:type="dxa"/>
              <w:right w:w="90" w:type="dxa"/>
            </w:tcMar>
          </w:tcPr>
          <w:p w14:paraId="1A159E8D">
            <w:pPr>
              <w:rPr>
                <w:rFonts w:asciiTheme="majorBidi" w:hAnsiTheme="majorBidi" w:cstheme="majorBidi"/>
                <w:sz w:val="32"/>
                <w:szCs w:val="32"/>
              </w:rPr>
            </w:pPr>
            <w:r>
              <w:rPr>
                <w:rFonts w:asciiTheme="majorBidi" w:hAnsiTheme="majorBidi" w:cstheme="majorBidi"/>
                <w:sz w:val="22"/>
                <w:szCs w:val="22"/>
              </w:rPr>
              <w:t>19 January 2022 (news release)</w:t>
            </w:r>
          </w:p>
        </w:tc>
        <w:tc>
          <w:tcPr>
            <w:tcW w:w="3600" w:type="dxa"/>
            <w:tcMar>
              <w:top w:w="90" w:type="dxa"/>
              <w:left w:w="90" w:type="dxa"/>
              <w:bottom w:w="90" w:type="dxa"/>
              <w:right w:w="90" w:type="dxa"/>
            </w:tcMar>
          </w:tcPr>
          <w:p w14:paraId="2C82C06B">
            <w:pPr>
              <w:rPr>
                <w:rFonts w:asciiTheme="majorBidi" w:hAnsiTheme="majorBidi" w:cstheme="majorBidi"/>
                <w:sz w:val="32"/>
                <w:szCs w:val="32"/>
              </w:rPr>
            </w:pPr>
            <w:r>
              <w:rPr>
                <w:rFonts w:asciiTheme="majorBidi" w:hAnsiTheme="majorBidi" w:cstheme="majorBidi"/>
                <w:sz w:val="22"/>
                <w:szCs w:val="22"/>
              </w:rPr>
              <w:t>31 May 2026 (Telegram message; some partners/donors reportedly notified same weekend)</w:t>
            </w:r>
          </w:p>
        </w:tc>
      </w:tr>
      <w:tr w14:paraId="259D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Mar>
              <w:top w:w="90" w:type="dxa"/>
              <w:left w:w="90" w:type="dxa"/>
              <w:bottom w:w="90" w:type="dxa"/>
              <w:right w:w="90" w:type="dxa"/>
            </w:tcMar>
          </w:tcPr>
          <w:p w14:paraId="69A2DE78">
            <w:pPr>
              <w:rPr>
                <w:rFonts w:asciiTheme="majorBidi" w:hAnsiTheme="majorBidi" w:cstheme="majorBidi"/>
                <w:sz w:val="32"/>
                <w:szCs w:val="32"/>
              </w:rPr>
            </w:pPr>
            <w:r>
              <w:rPr>
                <w:rFonts w:asciiTheme="majorBidi" w:hAnsiTheme="majorBidi" w:cstheme="majorBidi"/>
                <w:sz w:val="22"/>
                <w:szCs w:val="22"/>
              </w:rPr>
              <w:t>First direct beneficiary notification</w:t>
            </w:r>
          </w:p>
        </w:tc>
        <w:tc>
          <w:tcPr>
            <w:tcW w:w="3600" w:type="dxa"/>
            <w:tcMar>
              <w:top w:w="90" w:type="dxa"/>
              <w:left w:w="90" w:type="dxa"/>
              <w:bottom w:w="90" w:type="dxa"/>
              <w:right w:w="90" w:type="dxa"/>
            </w:tcMar>
          </w:tcPr>
          <w:p w14:paraId="5CB9620C">
            <w:pPr>
              <w:rPr>
                <w:rFonts w:asciiTheme="majorBidi" w:hAnsiTheme="majorBidi" w:cstheme="majorBidi"/>
                <w:sz w:val="32"/>
                <w:szCs w:val="32"/>
              </w:rPr>
            </w:pPr>
            <w:r>
              <w:rPr>
                <w:rFonts w:asciiTheme="majorBidi" w:hAnsiTheme="majorBidi" w:cstheme="majorBidi"/>
                <w:sz w:val="22"/>
                <w:szCs w:val="22"/>
              </w:rPr>
              <w:t>Within initial response; expanded via FAQ/guidance pages</w:t>
            </w:r>
          </w:p>
        </w:tc>
        <w:tc>
          <w:tcPr>
            <w:tcW w:w="3600" w:type="dxa"/>
            <w:tcMar>
              <w:top w:w="90" w:type="dxa"/>
              <w:left w:w="90" w:type="dxa"/>
              <w:bottom w:w="90" w:type="dxa"/>
              <w:right w:w="90" w:type="dxa"/>
            </w:tcMar>
          </w:tcPr>
          <w:p w14:paraId="24C48667">
            <w:pPr>
              <w:rPr>
                <w:rFonts w:asciiTheme="majorBidi" w:hAnsiTheme="majorBidi" w:cstheme="majorBidi"/>
                <w:sz w:val="32"/>
                <w:szCs w:val="32"/>
              </w:rPr>
            </w:pPr>
            <w:r>
              <w:rPr>
                <w:rFonts w:asciiTheme="majorBidi" w:hAnsiTheme="majorBidi" w:cstheme="majorBidi"/>
                <w:sz w:val="22"/>
                <w:szCs w:val="22"/>
              </w:rPr>
              <w:t>31 May 2026 (Telegram + email to some recipients)</w:t>
            </w:r>
          </w:p>
        </w:tc>
      </w:tr>
      <w:tr w14:paraId="785A7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Mar>
              <w:top w:w="90" w:type="dxa"/>
              <w:left w:w="90" w:type="dxa"/>
              <w:bottom w:w="90" w:type="dxa"/>
              <w:right w:w="90" w:type="dxa"/>
            </w:tcMar>
          </w:tcPr>
          <w:p w14:paraId="2ED15D09">
            <w:pPr>
              <w:rPr>
                <w:rFonts w:asciiTheme="majorBidi" w:hAnsiTheme="majorBidi" w:cstheme="majorBidi"/>
                <w:sz w:val="32"/>
                <w:szCs w:val="32"/>
              </w:rPr>
            </w:pPr>
            <w:r>
              <w:rPr>
                <w:rFonts w:asciiTheme="majorBidi" w:hAnsiTheme="majorBidi" w:cstheme="majorBidi"/>
                <w:sz w:val="22"/>
                <w:szCs w:val="22"/>
              </w:rPr>
              <w:t>Full public confirmation</w:t>
            </w:r>
          </w:p>
        </w:tc>
        <w:tc>
          <w:tcPr>
            <w:tcW w:w="3600" w:type="dxa"/>
            <w:tcMar>
              <w:top w:w="90" w:type="dxa"/>
              <w:left w:w="90" w:type="dxa"/>
              <w:bottom w:w="90" w:type="dxa"/>
              <w:right w:w="90" w:type="dxa"/>
            </w:tcMar>
          </w:tcPr>
          <w:p w14:paraId="59248400">
            <w:pPr>
              <w:rPr>
                <w:rFonts w:asciiTheme="majorBidi" w:hAnsiTheme="majorBidi" w:cstheme="majorBidi"/>
                <w:sz w:val="32"/>
                <w:szCs w:val="32"/>
              </w:rPr>
            </w:pPr>
            <w:r>
              <w:rPr>
                <w:rFonts w:asciiTheme="majorBidi" w:hAnsiTheme="majorBidi" w:cstheme="majorBidi"/>
                <w:sz w:val="22"/>
                <w:szCs w:val="22"/>
              </w:rPr>
              <w:t>19 January 2022</w:t>
            </w:r>
          </w:p>
        </w:tc>
        <w:tc>
          <w:tcPr>
            <w:tcW w:w="3600" w:type="dxa"/>
            <w:tcMar>
              <w:top w:w="90" w:type="dxa"/>
              <w:left w:w="90" w:type="dxa"/>
              <w:bottom w:w="90" w:type="dxa"/>
              <w:right w:w="90" w:type="dxa"/>
            </w:tcMar>
          </w:tcPr>
          <w:p w14:paraId="5846FCF1">
            <w:pPr>
              <w:rPr>
                <w:rFonts w:asciiTheme="majorBidi" w:hAnsiTheme="majorBidi" w:cstheme="majorBidi"/>
                <w:sz w:val="32"/>
                <w:szCs w:val="32"/>
              </w:rPr>
            </w:pPr>
            <w:r>
              <w:rPr>
                <w:rFonts w:asciiTheme="majorBidi" w:hAnsiTheme="majorBidi" w:cstheme="majorBidi"/>
                <w:sz w:val="22"/>
                <w:szCs w:val="22"/>
              </w:rPr>
              <w:t>2 June 2026 (statement to The New Humanitarian)</w:t>
            </w:r>
          </w:p>
        </w:tc>
      </w:tr>
      <w:tr w14:paraId="4EF60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Mar>
              <w:top w:w="90" w:type="dxa"/>
              <w:left w:w="90" w:type="dxa"/>
              <w:bottom w:w="90" w:type="dxa"/>
              <w:right w:w="90" w:type="dxa"/>
            </w:tcMar>
          </w:tcPr>
          <w:p w14:paraId="18722151">
            <w:pPr>
              <w:rPr>
                <w:rFonts w:asciiTheme="majorBidi" w:hAnsiTheme="majorBidi" w:cstheme="majorBidi"/>
                <w:sz w:val="32"/>
                <w:szCs w:val="32"/>
              </w:rPr>
            </w:pPr>
            <w:r>
              <w:rPr>
                <w:rFonts w:asciiTheme="majorBidi" w:hAnsiTheme="majorBidi" w:cstheme="majorBidi"/>
                <w:sz w:val="22"/>
                <w:szCs w:val="22"/>
              </w:rPr>
              <w:t>Detailed technical/analytical disclosure</w:t>
            </w:r>
          </w:p>
        </w:tc>
        <w:tc>
          <w:tcPr>
            <w:tcW w:w="3600" w:type="dxa"/>
            <w:tcMar>
              <w:top w:w="90" w:type="dxa"/>
              <w:left w:w="90" w:type="dxa"/>
              <w:bottom w:w="90" w:type="dxa"/>
              <w:right w:w="90" w:type="dxa"/>
            </w:tcMar>
          </w:tcPr>
          <w:p w14:paraId="77E54EF6">
            <w:pPr>
              <w:rPr>
                <w:rFonts w:asciiTheme="majorBidi" w:hAnsiTheme="majorBidi" w:cstheme="majorBidi"/>
                <w:sz w:val="32"/>
                <w:szCs w:val="32"/>
              </w:rPr>
            </w:pPr>
            <w:r>
              <w:rPr>
                <w:rFonts w:asciiTheme="majorBidi" w:hAnsiTheme="majorBidi" w:cstheme="majorBidi"/>
                <w:sz w:val="22"/>
                <w:szCs w:val="22"/>
              </w:rPr>
              <w:t>16 February 2022 ("Sharing our analysis"; "What we know")</w:t>
            </w:r>
          </w:p>
        </w:tc>
        <w:tc>
          <w:tcPr>
            <w:tcW w:w="3600" w:type="dxa"/>
            <w:tcMar>
              <w:top w:w="90" w:type="dxa"/>
              <w:left w:w="90" w:type="dxa"/>
              <w:bottom w:w="90" w:type="dxa"/>
              <w:right w:w="90" w:type="dxa"/>
            </w:tcMar>
          </w:tcPr>
          <w:p w14:paraId="45B595F9">
            <w:pPr>
              <w:rPr>
                <w:rFonts w:asciiTheme="majorBidi" w:hAnsiTheme="majorBidi" w:cstheme="majorBidi"/>
                <w:sz w:val="32"/>
                <w:szCs w:val="32"/>
              </w:rPr>
            </w:pPr>
            <w:r>
              <w:rPr>
                <w:rFonts w:asciiTheme="majorBidi" w:hAnsiTheme="majorBidi" w:cstheme="majorBidi"/>
                <w:sz w:val="22"/>
                <w:szCs w:val="22"/>
              </w:rPr>
              <w:t>Not yet documented in available official corpus</w:t>
            </w:r>
          </w:p>
        </w:tc>
      </w:tr>
      <w:tr w14:paraId="70CDB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Mar>
              <w:top w:w="90" w:type="dxa"/>
              <w:left w:w="90" w:type="dxa"/>
              <w:bottom w:w="90" w:type="dxa"/>
              <w:right w:w="90" w:type="dxa"/>
            </w:tcMar>
          </w:tcPr>
          <w:p w14:paraId="18F0A7DD">
            <w:pPr>
              <w:rPr>
                <w:rFonts w:asciiTheme="majorBidi" w:hAnsiTheme="majorBidi" w:cstheme="majorBidi"/>
                <w:sz w:val="32"/>
                <w:szCs w:val="32"/>
              </w:rPr>
            </w:pPr>
            <w:r>
              <w:rPr>
                <w:rFonts w:asciiTheme="majorBidi" w:hAnsiTheme="majorBidi" w:cstheme="majorBidi"/>
                <w:sz w:val="22"/>
                <w:szCs w:val="22"/>
              </w:rPr>
              <w:t>Official situation report</w:t>
            </w:r>
          </w:p>
        </w:tc>
        <w:tc>
          <w:tcPr>
            <w:tcW w:w="3600" w:type="dxa"/>
            <w:tcMar>
              <w:top w:w="90" w:type="dxa"/>
              <w:left w:w="90" w:type="dxa"/>
              <w:bottom w:w="90" w:type="dxa"/>
              <w:right w:w="90" w:type="dxa"/>
            </w:tcMar>
          </w:tcPr>
          <w:p w14:paraId="227AAACF">
            <w:pPr>
              <w:rPr>
                <w:rFonts w:asciiTheme="majorBidi" w:hAnsiTheme="majorBidi" w:cstheme="majorBidi"/>
                <w:sz w:val="32"/>
                <w:szCs w:val="32"/>
              </w:rPr>
            </w:pPr>
            <w:r>
              <w:rPr>
                <w:rFonts w:asciiTheme="majorBidi" w:hAnsiTheme="majorBidi" w:cstheme="majorBidi"/>
                <w:sz w:val="22"/>
                <w:szCs w:val="22"/>
              </w:rPr>
              <w:t>N/A (organization-specific formats)</w:t>
            </w:r>
          </w:p>
        </w:tc>
        <w:tc>
          <w:tcPr>
            <w:tcW w:w="3600" w:type="dxa"/>
            <w:tcMar>
              <w:top w:w="90" w:type="dxa"/>
              <w:left w:w="90" w:type="dxa"/>
              <w:bottom w:w="90" w:type="dxa"/>
              <w:right w:w="90" w:type="dxa"/>
            </w:tcMar>
          </w:tcPr>
          <w:p w14:paraId="7FA605D8">
            <w:pPr>
              <w:rPr>
                <w:rFonts w:asciiTheme="majorBidi" w:hAnsiTheme="majorBidi" w:cstheme="majorBidi"/>
                <w:sz w:val="32"/>
                <w:szCs w:val="32"/>
              </w:rPr>
            </w:pPr>
            <w:r>
              <w:rPr>
                <w:rFonts w:asciiTheme="majorBidi" w:hAnsiTheme="majorBidi" w:cstheme="majorBidi"/>
                <w:sz w:val="22"/>
                <w:szCs w:val="22"/>
              </w:rPr>
              <w:t>9 June 2026 (WFP Palestine Emergency Response Sitrep #90)</w:t>
            </w:r>
          </w:p>
        </w:tc>
      </w:tr>
    </w:tbl>
    <w:p w14:paraId="53E0E2E1">
      <w:pPr>
        <w:spacing w:before="60" w:after="180"/>
      </w:pPr>
      <w:r>
        <w:rPr>
          <w:i/>
          <w:sz w:val="18"/>
        </w:rPr>
        <w:t>Source: Author's own compilation from official ICRC and WFP communications and the independent sources cited in Sections 11-12 (e.g., International Committee of the Red Cross, 2022; The New Humanitarian, 2026; Access Now, 2026).</w:t>
      </w:r>
    </w:p>
    <w:p w14:paraId="68D440A9">
      <w:pPr>
        <w:spacing w:after="200" w:line="360" w:lineRule="auto"/>
        <w:jc w:val="both"/>
        <w:rPr>
          <w:rFonts w:asciiTheme="majorBidi" w:hAnsiTheme="majorBidi" w:cstheme="majorBidi"/>
          <w:sz w:val="32"/>
          <w:szCs w:val="32"/>
        </w:rPr>
      </w:pPr>
      <w:r>
        <w:rPr>
          <w:rFonts w:asciiTheme="majorBidi" w:hAnsiTheme="majorBidi" w:cstheme="majorBidi"/>
          <w:sz w:val="32"/>
          <w:szCs w:val="32"/>
        </w:rPr>
        <w:t xml:space="preserve"> </w:t>
      </w:r>
    </w:p>
    <w:p w14:paraId="53F17627">
      <w:pPr>
        <w:spacing w:after="200" w:line="360" w:lineRule="auto"/>
        <w:jc w:val="both"/>
        <w:rPr>
          <w:rFonts w:asciiTheme="majorBidi" w:hAnsiTheme="majorBidi" w:cstheme="majorBidi"/>
          <w:sz w:val="32"/>
          <w:szCs w:val="32"/>
        </w:rPr>
      </w:pPr>
      <w:r>
        <w:rPr>
          <w:rFonts w:asciiTheme="majorBidi" w:hAnsiTheme="majorBidi" w:cstheme="majorBidi"/>
          <w:sz w:val="32"/>
          <w:szCs w:val="32"/>
        </w:rPr>
        <w:t>Note: The ICRC interval between detection (18 Jan) and public disclosure (19 Jan) was approximately one day; the interval between intrusion (9 Nov 2021) and detection (18 Jan 2022) was approximately ten weeks. For WFP, detection and the attack date are reported as the same date (14 May) in available official sources; the interval most robustly documented is between the attack date and the first beneficiary notification (31 May), an interval of 17 days that has been explicitly characterized as falling short of breach-notification best practice by an independent civil-society coalition (Access Now, 2026).</w:t>
      </w:r>
    </w:p>
    <w:p w14:paraId="228DC913">
      <w:pPr>
        <w:pStyle w:val="2"/>
        <w:spacing w:before="360" w:after="160"/>
        <w:rPr>
          <w:rFonts w:asciiTheme="majorBidi" w:hAnsiTheme="majorBidi" w:cstheme="majorBidi"/>
          <w:sz w:val="40"/>
          <w:szCs w:val="40"/>
        </w:rPr>
      </w:pPr>
      <w:r>
        <w:rPr>
          <w:rFonts w:asciiTheme="majorBidi" w:hAnsiTheme="majorBidi" w:cstheme="majorBidi"/>
          <w:b/>
          <w:bCs/>
          <w:sz w:val="36"/>
          <w:szCs w:val="36"/>
        </w:rPr>
        <w:t>12. Evidence Corpus</w:t>
      </w:r>
    </w:p>
    <w:p w14:paraId="6EA0FE06">
      <w:pPr>
        <w:pStyle w:val="3"/>
        <w:spacing w:before="260" w:after="140"/>
        <w:rPr>
          <w:rFonts w:asciiTheme="majorBidi" w:hAnsiTheme="majorBidi" w:cstheme="majorBidi"/>
          <w:sz w:val="32"/>
          <w:szCs w:val="32"/>
        </w:rPr>
      </w:pPr>
      <w:r>
        <w:rPr>
          <w:rFonts w:asciiTheme="majorBidi" w:hAnsiTheme="majorBidi" w:cstheme="majorBidi"/>
          <w:b/>
          <w:bCs/>
          <w:sz w:val="32"/>
          <w:szCs w:val="32"/>
        </w:rPr>
        <w:t>12.1 Source-Level Classification</w:t>
      </w:r>
    </w:p>
    <w:p w14:paraId="5B15CC80">
      <w:pPr>
        <w:spacing w:before="180" w:after="60"/>
      </w:pPr>
      <w:r>
        <w:rPr>
          <w:b/>
          <w:sz w:val="20"/>
        </w:rPr>
        <w:t>Table 6. Source-Level Evidence Classification (Level A/B/C)</w:t>
      </w:r>
    </w:p>
    <w:tbl>
      <w:tblPr>
        <w:tblStyle w:val="9"/>
        <w:tblW w:w="9800" w:type="dxa"/>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200"/>
        <w:gridCol w:w="3200"/>
        <w:gridCol w:w="3400"/>
      </w:tblGrid>
      <w:tr w14:paraId="70EAD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200" w:type="dxa"/>
            <w:shd w:val="clear" w:color="auto" w:fill="D9E2F3"/>
            <w:tcMar>
              <w:top w:w="90" w:type="dxa"/>
              <w:left w:w="90" w:type="dxa"/>
              <w:bottom w:w="90" w:type="dxa"/>
              <w:right w:w="90" w:type="dxa"/>
            </w:tcMar>
          </w:tcPr>
          <w:p w14:paraId="0652F5FD">
            <w:pPr>
              <w:rPr>
                <w:rFonts w:asciiTheme="majorBidi" w:hAnsiTheme="majorBidi" w:cstheme="majorBidi"/>
                <w:sz w:val="32"/>
                <w:szCs w:val="32"/>
              </w:rPr>
            </w:pPr>
            <w:r>
              <w:rPr>
                <w:rFonts w:asciiTheme="majorBidi" w:hAnsiTheme="majorBidi" w:cstheme="majorBidi"/>
                <w:b/>
                <w:bCs/>
                <w:sz w:val="22"/>
                <w:szCs w:val="22"/>
              </w:rPr>
              <w:t>Source type</w:t>
            </w:r>
          </w:p>
        </w:tc>
        <w:tc>
          <w:tcPr>
            <w:tcW w:w="3200" w:type="dxa"/>
            <w:shd w:val="clear" w:color="auto" w:fill="D9E2F3"/>
            <w:tcMar>
              <w:top w:w="90" w:type="dxa"/>
              <w:left w:w="90" w:type="dxa"/>
              <w:bottom w:w="90" w:type="dxa"/>
              <w:right w:w="90" w:type="dxa"/>
            </w:tcMar>
          </w:tcPr>
          <w:p w14:paraId="5383B405">
            <w:pPr>
              <w:rPr>
                <w:rFonts w:asciiTheme="majorBidi" w:hAnsiTheme="majorBidi" w:cstheme="majorBidi"/>
                <w:sz w:val="32"/>
                <w:szCs w:val="32"/>
              </w:rPr>
            </w:pPr>
            <w:r>
              <w:rPr>
                <w:rFonts w:asciiTheme="majorBidi" w:hAnsiTheme="majorBidi" w:cstheme="majorBidi"/>
                <w:b/>
                <w:bCs/>
                <w:sz w:val="22"/>
                <w:szCs w:val="22"/>
              </w:rPr>
              <w:t>Example</w:t>
            </w:r>
          </w:p>
        </w:tc>
        <w:tc>
          <w:tcPr>
            <w:tcW w:w="3400" w:type="dxa"/>
            <w:shd w:val="clear" w:color="auto" w:fill="D9E2F3"/>
            <w:tcMar>
              <w:top w:w="90" w:type="dxa"/>
              <w:left w:w="90" w:type="dxa"/>
              <w:bottom w:w="90" w:type="dxa"/>
              <w:right w:w="90" w:type="dxa"/>
            </w:tcMar>
          </w:tcPr>
          <w:p w14:paraId="7C079AAD">
            <w:pPr>
              <w:rPr>
                <w:rFonts w:asciiTheme="majorBidi" w:hAnsiTheme="majorBidi" w:cstheme="majorBidi"/>
                <w:sz w:val="32"/>
                <w:szCs w:val="32"/>
              </w:rPr>
            </w:pPr>
            <w:r>
              <w:rPr>
                <w:rFonts w:asciiTheme="majorBidi" w:hAnsiTheme="majorBidi" w:cstheme="majorBidi"/>
                <w:b/>
                <w:bCs/>
                <w:sz w:val="22"/>
                <w:szCs w:val="22"/>
              </w:rPr>
              <w:t>Use in this study</w:t>
            </w:r>
          </w:p>
        </w:tc>
      </w:tr>
      <w:tr w14:paraId="08289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200" w:type="dxa"/>
            <w:tcMar>
              <w:top w:w="90" w:type="dxa"/>
              <w:left w:w="90" w:type="dxa"/>
              <w:bottom w:w="90" w:type="dxa"/>
              <w:right w:w="90" w:type="dxa"/>
            </w:tcMar>
          </w:tcPr>
          <w:p w14:paraId="3765CA9D">
            <w:pPr>
              <w:rPr>
                <w:rFonts w:asciiTheme="majorBidi" w:hAnsiTheme="majorBidi" w:cstheme="majorBidi"/>
                <w:sz w:val="32"/>
                <w:szCs w:val="32"/>
              </w:rPr>
            </w:pPr>
            <w:r>
              <w:rPr>
                <w:rFonts w:asciiTheme="majorBidi" w:hAnsiTheme="majorBidi" w:cstheme="majorBidi"/>
                <w:sz w:val="22"/>
                <w:szCs w:val="22"/>
              </w:rPr>
              <w:t>Level A - Official organizational communication</w:t>
            </w:r>
          </w:p>
        </w:tc>
        <w:tc>
          <w:tcPr>
            <w:tcW w:w="3200" w:type="dxa"/>
            <w:tcMar>
              <w:top w:w="90" w:type="dxa"/>
              <w:left w:w="90" w:type="dxa"/>
              <w:bottom w:w="90" w:type="dxa"/>
              <w:right w:w="90" w:type="dxa"/>
            </w:tcMar>
          </w:tcPr>
          <w:p w14:paraId="662C2E5B">
            <w:pPr>
              <w:rPr>
                <w:rFonts w:asciiTheme="majorBidi" w:hAnsiTheme="majorBidi" w:cstheme="majorBidi"/>
                <w:sz w:val="32"/>
                <w:szCs w:val="32"/>
              </w:rPr>
            </w:pPr>
            <w:r>
              <w:rPr>
                <w:rFonts w:asciiTheme="majorBidi" w:hAnsiTheme="majorBidi" w:cstheme="majorBidi"/>
                <w:sz w:val="22"/>
                <w:szCs w:val="22"/>
              </w:rPr>
              <w:t>ICRC news releases, open letters, FAQs; WFP Telegram notices, official statements, situation reports</w:t>
            </w:r>
          </w:p>
        </w:tc>
        <w:tc>
          <w:tcPr>
            <w:tcW w:w="3400" w:type="dxa"/>
            <w:tcMar>
              <w:top w:w="90" w:type="dxa"/>
              <w:left w:w="90" w:type="dxa"/>
              <w:bottom w:w="90" w:type="dxa"/>
              <w:right w:w="90" w:type="dxa"/>
            </w:tcMar>
          </w:tcPr>
          <w:p w14:paraId="15F3DC8E">
            <w:pPr>
              <w:rPr>
                <w:rFonts w:asciiTheme="majorBidi" w:hAnsiTheme="majorBidi" w:cstheme="majorBidi"/>
                <w:sz w:val="32"/>
                <w:szCs w:val="32"/>
              </w:rPr>
            </w:pPr>
            <w:r>
              <w:rPr>
                <w:rFonts w:asciiTheme="majorBidi" w:hAnsiTheme="majorBidi" w:cstheme="majorBidi"/>
                <w:sz w:val="22"/>
                <w:szCs w:val="22"/>
              </w:rPr>
              <w:t>Primary coding corpus</w:t>
            </w:r>
          </w:p>
        </w:tc>
      </w:tr>
      <w:tr w14:paraId="7800B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200" w:type="dxa"/>
            <w:tcMar>
              <w:top w:w="90" w:type="dxa"/>
              <w:left w:w="90" w:type="dxa"/>
              <w:bottom w:w="90" w:type="dxa"/>
              <w:right w:w="90" w:type="dxa"/>
            </w:tcMar>
          </w:tcPr>
          <w:p w14:paraId="21C7E418">
            <w:pPr>
              <w:rPr>
                <w:rFonts w:asciiTheme="majorBidi" w:hAnsiTheme="majorBidi" w:cstheme="majorBidi"/>
                <w:sz w:val="32"/>
                <w:szCs w:val="32"/>
              </w:rPr>
            </w:pPr>
            <w:r>
              <w:rPr>
                <w:rFonts w:asciiTheme="majorBidi" w:hAnsiTheme="majorBidi" w:cstheme="majorBidi"/>
                <w:sz w:val="22"/>
                <w:szCs w:val="22"/>
              </w:rPr>
              <w:t>Level B - Official UN/inter-agency documentation</w:t>
            </w:r>
          </w:p>
        </w:tc>
        <w:tc>
          <w:tcPr>
            <w:tcW w:w="3200" w:type="dxa"/>
            <w:tcMar>
              <w:top w:w="90" w:type="dxa"/>
              <w:left w:w="90" w:type="dxa"/>
              <w:bottom w:w="90" w:type="dxa"/>
              <w:right w:w="90" w:type="dxa"/>
            </w:tcMar>
          </w:tcPr>
          <w:p w14:paraId="0EE48658">
            <w:pPr>
              <w:rPr>
                <w:rFonts w:asciiTheme="majorBidi" w:hAnsiTheme="majorBidi" w:cstheme="majorBidi"/>
                <w:sz w:val="32"/>
                <w:szCs w:val="32"/>
              </w:rPr>
            </w:pPr>
            <w:r>
              <w:rPr>
                <w:rFonts w:asciiTheme="majorBidi" w:hAnsiTheme="majorBidi" w:cstheme="majorBidi"/>
                <w:sz w:val="22"/>
                <w:szCs w:val="22"/>
              </w:rPr>
              <w:t>WFP situation report (ReliefWeb-hosted)</w:t>
            </w:r>
          </w:p>
        </w:tc>
        <w:tc>
          <w:tcPr>
            <w:tcW w:w="3400" w:type="dxa"/>
            <w:tcMar>
              <w:top w:w="90" w:type="dxa"/>
              <w:left w:w="90" w:type="dxa"/>
              <w:bottom w:w="90" w:type="dxa"/>
              <w:right w:w="90" w:type="dxa"/>
            </w:tcMar>
          </w:tcPr>
          <w:p w14:paraId="1A2A9F4F">
            <w:pPr>
              <w:rPr>
                <w:rFonts w:asciiTheme="majorBidi" w:hAnsiTheme="majorBidi" w:cstheme="majorBidi"/>
                <w:sz w:val="32"/>
                <w:szCs w:val="32"/>
              </w:rPr>
            </w:pPr>
            <w:r>
              <w:rPr>
                <w:rFonts w:asciiTheme="majorBidi" w:hAnsiTheme="majorBidi" w:cstheme="majorBidi"/>
                <w:sz w:val="22"/>
                <w:szCs w:val="22"/>
              </w:rPr>
              <w:t>Verification / triangulation</w:t>
            </w:r>
          </w:p>
        </w:tc>
      </w:tr>
      <w:tr w14:paraId="1D037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200" w:type="dxa"/>
            <w:tcMar>
              <w:top w:w="90" w:type="dxa"/>
              <w:left w:w="90" w:type="dxa"/>
              <w:bottom w:w="90" w:type="dxa"/>
              <w:right w:w="90" w:type="dxa"/>
            </w:tcMar>
          </w:tcPr>
          <w:p w14:paraId="2887CACF">
            <w:pPr>
              <w:rPr>
                <w:rFonts w:asciiTheme="majorBidi" w:hAnsiTheme="majorBidi" w:cstheme="majorBidi"/>
                <w:sz w:val="32"/>
                <w:szCs w:val="32"/>
              </w:rPr>
            </w:pPr>
            <w:r>
              <w:rPr>
                <w:rFonts w:asciiTheme="majorBidi" w:hAnsiTheme="majorBidi" w:cstheme="majorBidi"/>
                <w:sz w:val="22"/>
                <w:szCs w:val="22"/>
              </w:rPr>
              <w:t>Level C - Independent media and civil society</w:t>
            </w:r>
          </w:p>
        </w:tc>
        <w:tc>
          <w:tcPr>
            <w:tcW w:w="3200" w:type="dxa"/>
            <w:tcMar>
              <w:top w:w="90" w:type="dxa"/>
              <w:left w:w="90" w:type="dxa"/>
              <w:bottom w:w="90" w:type="dxa"/>
              <w:right w:w="90" w:type="dxa"/>
            </w:tcMar>
          </w:tcPr>
          <w:p w14:paraId="414836AC">
            <w:pPr>
              <w:rPr>
                <w:rFonts w:asciiTheme="majorBidi" w:hAnsiTheme="majorBidi" w:cstheme="majorBidi"/>
                <w:sz w:val="32"/>
                <w:szCs w:val="32"/>
              </w:rPr>
            </w:pPr>
            <w:r>
              <w:rPr>
                <w:rFonts w:asciiTheme="majorBidi" w:hAnsiTheme="majorBidi" w:cstheme="majorBidi"/>
                <w:sz w:val="22"/>
                <w:szCs w:val="22"/>
              </w:rPr>
              <w:t>The New Humanitarian, Access Now, DataBreaches.Net, Lemkin Institute/Inklings, Al Jazeera, NPR</w:t>
            </w:r>
          </w:p>
        </w:tc>
        <w:tc>
          <w:tcPr>
            <w:tcW w:w="3400" w:type="dxa"/>
            <w:tcMar>
              <w:top w:w="90" w:type="dxa"/>
              <w:left w:w="90" w:type="dxa"/>
              <w:bottom w:w="90" w:type="dxa"/>
              <w:right w:w="90" w:type="dxa"/>
            </w:tcMar>
          </w:tcPr>
          <w:p w14:paraId="7B25D133">
            <w:pPr>
              <w:rPr>
                <w:rFonts w:asciiTheme="majorBidi" w:hAnsiTheme="majorBidi" w:cstheme="majorBidi"/>
                <w:sz w:val="32"/>
                <w:szCs w:val="32"/>
              </w:rPr>
            </w:pPr>
            <w:r>
              <w:rPr>
                <w:rFonts w:asciiTheme="majorBidi" w:hAnsiTheme="majorBidi" w:cstheme="majorBidi"/>
                <w:sz w:val="22"/>
                <w:szCs w:val="22"/>
              </w:rPr>
              <w:t>Contextual corroboration only - not coded as organizational communication</w:t>
            </w:r>
          </w:p>
        </w:tc>
      </w:tr>
    </w:tbl>
    <w:p w14:paraId="4A56A4E9">
      <w:pPr>
        <w:spacing w:before="60" w:after="180"/>
      </w:pPr>
      <w:r>
        <w:rPr>
          <w:i/>
          <w:sz w:val="18"/>
        </w:rPr>
        <w:t>Source: Author's own classification scheme (Section 12.1).</w:t>
      </w:r>
    </w:p>
    <w:p w14:paraId="6DB759A1">
      <w:pPr>
        <w:spacing w:after="200" w:line="360" w:lineRule="auto"/>
        <w:jc w:val="both"/>
        <w:rPr>
          <w:rFonts w:asciiTheme="majorBidi" w:hAnsiTheme="majorBidi" w:cstheme="majorBidi"/>
          <w:sz w:val="32"/>
          <w:szCs w:val="32"/>
        </w:rPr>
      </w:pPr>
      <w:r>
        <w:rPr>
          <w:rFonts w:asciiTheme="majorBidi" w:hAnsiTheme="majorBidi" w:cstheme="majorBidi"/>
          <w:sz w:val="32"/>
          <w:szCs w:val="32"/>
        </w:rPr>
        <w:t xml:space="preserve"> </w:t>
      </w:r>
    </w:p>
    <w:p w14:paraId="59DE6327">
      <w:pPr>
        <w:pStyle w:val="3"/>
        <w:spacing w:before="260" w:after="140"/>
        <w:rPr>
          <w:rFonts w:asciiTheme="majorBidi" w:hAnsiTheme="majorBidi" w:cstheme="majorBidi"/>
          <w:sz w:val="32"/>
          <w:szCs w:val="32"/>
        </w:rPr>
      </w:pPr>
      <w:r>
        <w:rPr>
          <w:rFonts w:asciiTheme="majorBidi" w:hAnsiTheme="majorBidi" w:cstheme="majorBidi"/>
          <w:b/>
          <w:bCs/>
          <w:sz w:val="32"/>
          <w:szCs w:val="32"/>
        </w:rPr>
        <w:t>12.2 ICRC - Level A Communications</w:t>
      </w:r>
    </w:p>
    <w:p w14:paraId="49DD9C7C">
      <w:pPr>
        <w:spacing w:before="180" w:after="60"/>
      </w:pPr>
      <w:r>
        <w:rPr>
          <w:b/>
          <w:sz w:val="20"/>
        </w:rPr>
        <w:t>Table 7. ICRC Level A Communications Included in the Corpus</w:t>
      </w:r>
    </w:p>
    <w:tbl>
      <w:tblPr>
        <w:tblStyle w:val="9"/>
        <w:tblW w:w="9800" w:type="dxa"/>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400"/>
        <w:gridCol w:w="3000"/>
        <w:gridCol w:w="5400"/>
      </w:tblGrid>
      <w:tr w14:paraId="063E6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00" w:type="dxa"/>
            <w:shd w:val="clear" w:color="auto" w:fill="D9E2F3"/>
            <w:tcMar>
              <w:top w:w="90" w:type="dxa"/>
              <w:left w:w="90" w:type="dxa"/>
              <w:bottom w:w="90" w:type="dxa"/>
              <w:right w:w="90" w:type="dxa"/>
            </w:tcMar>
          </w:tcPr>
          <w:p w14:paraId="34997B31">
            <w:pPr>
              <w:rPr>
                <w:rFonts w:asciiTheme="majorBidi" w:hAnsiTheme="majorBidi" w:cstheme="majorBidi"/>
                <w:sz w:val="32"/>
                <w:szCs w:val="32"/>
              </w:rPr>
            </w:pPr>
            <w:r>
              <w:rPr>
                <w:rFonts w:asciiTheme="majorBidi" w:hAnsiTheme="majorBidi" w:cstheme="majorBidi"/>
                <w:b/>
                <w:bCs/>
                <w:sz w:val="22"/>
                <w:szCs w:val="22"/>
              </w:rPr>
              <w:t>Date</w:t>
            </w:r>
          </w:p>
        </w:tc>
        <w:tc>
          <w:tcPr>
            <w:tcW w:w="3000" w:type="dxa"/>
            <w:shd w:val="clear" w:color="auto" w:fill="D9E2F3"/>
            <w:tcMar>
              <w:top w:w="90" w:type="dxa"/>
              <w:left w:w="90" w:type="dxa"/>
              <w:bottom w:w="90" w:type="dxa"/>
              <w:right w:w="90" w:type="dxa"/>
            </w:tcMar>
          </w:tcPr>
          <w:p w14:paraId="73D15003">
            <w:pPr>
              <w:rPr>
                <w:rFonts w:asciiTheme="majorBidi" w:hAnsiTheme="majorBidi" w:cstheme="majorBidi"/>
                <w:sz w:val="32"/>
                <w:szCs w:val="32"/>
              </w:rPr>
            </w:pPr>
            <w:r>
              <w:rPr>
                <w:rFonts w:asciiTheme="majorBidi" w:hAnsiTheme="majorBidi" w:cstheme="majorBidi"/>
                <w:b/>
                <w:bCs/>
                <w:sz w:val="22"/>
                <w:szCs w:val="22"/>
              </w:rPr>
              <w:t>Document (official ICRC)</w:t>
            </w:r>
          </w:p>
        </w:tc>
        <w:tc>
          <w:tcPr>
            <w:tcW w:w="5400" w:type="dxa"/>
            <w:shd w:val="clear" w:color="auto" w:fill="D9E2F3"/>
            <w:tcMar>
              <w:top w:w="90" w:type="dxa"/>
              <w:left w:w="90" w:type="dxa"/>
              <w:bottom w:w="90" w:type="dxa"/>
              <w:right w:w="90" w:type="dxa"/>
            </w:tcMar>
          </w:tcPr>
          <w:p w14:paraId="59F8338E">
            <w:pPr>
              <w:rPr>
                <w:rFonts w:asciiTheme="majorBidi" w:hAnsiTheme="majorBidi" w:cstheme="majorBidi"/>
                <w:sz w:val="32"/>
                <w:szCs w:val="32"/>
              </w:rPr>
            </w:pPr>
            <w:r>
              <w:rPr>
                <w:rFonts w:asciiTheme="majorBidi" w:hAnsiTheme="majorBidi" w:cstheme="majorBidi"/>
                <w:b/>
                <w:bCs/>
                <w:sz w:val="22"/>
                <w:szCs w:val="22"/>
              </w:rPr>
              <w:t>Key documented content</w:t>
            </w:r>
          </w:p>
        </w:tc>
      </w:tr>
      <w:tr w14:paraId="290D7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00" w:type="dxa"/>
            <w:tcMar>
              <w:top w:w="90" w:type="dxa"/>
              <w:left w:w="90" w:type="dxa"/>
              <w:bottom w:w="90" w:type="dxa"/>
              <w:right w:w="90" w:type="dxa"/>
            </w:tcMar>
          </w:tcPr>
          <w:p w14:paraId="3F7DB6EE">
            <w:pPr>
              <w:rPr>
                <w:rFonts w:asciiTheme="majorBidi" w:hAnsiTheme="majorBidi" w:cstheme="majorBidi"/>
                <w:sz w:val="32"/>
                <w:szCs w:val="32"/>
              </w:rPr>
            </w:pPr>
            <w:r>
              <w:rPr>
                <w:rFonts w:asciiTheme="majorBidi" w:hAnsiTheme="majorBidi" w:cstheme="majorBidi"/>
                <w:sz w:val="22"/>
                <w:szCs w:val="22"/>
              </w:rPr>
              <w:t>19 Jan 2022</w:t>
            </w:r>
          </w:p>
        </w:tc>
        <w:tc>
          <w:tcPr>
            <w:tcW w:w="3000" w:type="dxa"/>
            <w:tcMar>
              <w:top w:w="90" w:type="dxa"/>
              <w:left w:w="90" w:type="dxa"/>
              <w:bottom w:w="90" w:type="dxa"/>
              <w:right w:w="90" w:type="dxa"/>
            </w:tcMar>
          </w:tcPr>
          <w:p w14:paraId="45E8522F">
            <w:pPr>
              <w:rPr>
                <w:rFonts w:asciiTheme="majorBidi" w:hAnsiTheme="majorBidi" w:cstheme="majorBidi"/>
                <w:sz w:val="32"/>
                <w:szCs w:val="32"/>
              </w:rPr>
            </w:pPr>
            <w:r>
              <w:rPr>
                <w:rFonts w:asciiTheme="majorBidi" w:hAnsiTheme="majorBidi" w:cstheme="majorBidi"/>
                <w:sz w:val="22"/>
                <w:szCs w:val="22"/>
              </w:rPr>
              <w:t>Initial news release</w:t>
            </w:r>
          </w:p>
        </w:tc>
        <w:tc>
          <w:tcPr>
            <w:tcW w:w="5400" w:type="dxa"/>
            <w:tcMar>
              <w:top w:w="90" w:type="dxa"/>
              <w:left w:w="90" w:type="dxa"/>
              <w:bottom w:w="90" w:type="dxa"/>
              <w:right w:w="90" w:type="dxa"/>
            </w:tcMar>
          </w:tcPr>
          <w:p w14:paraId="76779C9A">
            <w:pPr>
              <w:rPr>
                <w:rFonts w:asciiTheme="majorBidi" w:hAnsiTheme="majorBidi" w:cstheme="majorBidi"/>
                <w:sz w:val="32"/>
                <w:szCs w:val="32"/>
              </w:rPr>
            </w:pPr>
            <w:r>
              <w:rPr>
                <w:rFonts w:asciiTheme="majorBidi" w:hAnsiTheme="majorBidi" w:cstheme="majorBidi"/>
                <w:sz w:val="22"/>
                <w:szCs w:val="22"/>
              </w:rPr>
              <w:t>Confirms attack on servers holding data of 515,000+ people from 60+ National Societies; states no evidence of public sharing at that time; RFL systems taken offline.</w:t>
            </w:r>
          </w:p>
        </w:tc>
      </w:tr>
      <w:tr w14:paraId="20F85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00" w:type="dxa"/>
            <w:tcMar>
              <w:top w:w="90" w:type="dxa"/>
              <w:left w:w="90" w:type="dxa"/>
              <w:bottom w:w="90" w:type="dxa"/>
              <w:right w:w="90" w:type="dxa"/>
            </w:tcMar>
          </w:tcPr>
          <w:p w14:paraId="29E2AA03">
            <w:pPr>
              <w:rPr>
                <w:rFonts w:asciiTheme="majorBidi" w:hAnsiTheme="majorBidi" w:cstheme="majorBidi"/>
                <w:sz w:val="32"/>
                <w:szCs w:val="32"/>
              </w:rPr>
            </w:pPr>
            <w:r>
              <w:rPr>
                <w:rFonts w:asciiTheme="majorBidi" w:hAnsiTheme="majorBidi" w:cstheme="majorBidi"/>
                <w:sz w:val="22"/>
                <w:szCs w:val="22"/>
              </w:rPr>
              <w:t>29 Jan 2022</w:t>
            </w:r>
          </w:p>
        </w:tc>
        <w:tc>
          <w:tcPr>
            <w:tcW w:w="3000" w:type="dxa"/>
            <w:tcMar>
              <w:top w:w="90" w:type="dxa"/>
              <w:left w:w="90" w:type="dxa"/>
              <w:bottom w:w="90" w:type="dxa"/>
              <w:right w:w="90" w:type="dxa"/>
            </w:tcMar>
          </w:tcPr>
          <w:p w14:paraId="0D519A2A">
            <w:pPr>
              <w:rPr>
                <w:rFonts w:asciiTheme="majorBidi" w:hAnsiTheme="majorBidi" w:cstheme="majorBidi"/>
                <w:sz w:val="32"/>
                <w:szCs w:val="32"/>
              </w:rPr>
            </w:pPr>
            <w:r>
              <w:rPr>
                <w:rFonts w:asciiTheme="majorBidi" w:hAnsiTheme="majorBidi" w:cstheme="majorBidi"/>
                <w:sz w:val="22"/>
                <w:szCs w:val="22"/>
              </w:rPr>
              <w:t>Director-General open statement, "Hacking the data of the world's most vulnerable is an outrage"</w:t>
            </w:r>
          </w:p>
        </w:tc>
        <w:tc>
          <w:tcPr>
            <w:tcW w:w="5400" w:type="dxa"/>
            <w:tcMar>
              <w:top w:w="90" w:type="dxa"/>
              <w:left w:w="90" w:type="dxa"/>
              <w:bottom w:w="90" w:type="dxa"/>
              <w:right w:w="90" w:type="dxa"/>
            </w:tcMar>
          </w:tcPr>
          <w:p w14:paraId="5C142824">
            <w:pPr>
              <w:rPr>
                <w:rFonts w:asciiTheme="majorBidi" w:hAnsiTheme="majorBidi" w:cstheme="majorBidi"/>
                <w:sz w:val="32"/>
                <w:szCs w:val="32"/>
              </w:rPr>
            </w:pPr>
            <w:r>
              <w:rPr>
                <w:rFonts w:asciiTheme="majorBidi" w:hAnsiTheme="majorBidi" w:cstheme="majorBidi"/>
                <w:sz w:val="22"/>
                <w:szCs w:val="22"/>
              </w:rPr>
              <w:t>Frames breach as an affront to humanity; names affected categories (separated families, missing persons, detainees); states data protection "is not a responsibility we have taken lightly"; references prior security investment.</w:t>
            </w:r>
          </w:p>
        </w:tc>
      </w:tr>
      <w:tr w14:paraId="06A28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00" w:type="dxa"/>
            <w:tcMar>
              <w:top w:w="90" w:type="dxa"/>
              <w:left w:w="90" w:type="dxa"/>
              <w:bottom w:w="90" w:type="dxa"/>
              <w:right w:w="90" w:type="dxa"/>
            </w:tcMar>
          </w:tcPr>
          <w:p w14:paraId="04EF378C">
            <w:pPr>
              <w:rPr>
                <w:rFonts w:asciiTheme="majorBidi" w:hAnsiTheme="majorBidi" w:cstheme="majorBidi"/>
                <w:sz w:val="32"/>
                <w:szCs w:val="32"/>
              </w:rPr>
            </w:pPr>
            <w:r>
              <w:rPr>
                <w:rFonts w:asciiTheme="majorBidi" w:hAnsiTheme="majorBidi" w:cstheme="majorBidi"/>
                <w:sz w:val="22"/>
                <w:szCs w:val="22"/>
              </w:rPr>
              <w:t>~16 Feb 2022</w:t>
            </w:r>
          </w:p>
        </w:tc>
        <w:tc>
          <w:tcPr>
            <w:tcW w:w="3000" w:type="dxa"/>
            <w:tcMar>
              <w:top w:w="90" w:type="dxa"/>
              <w:left w:w="90" w:type="dxa"/>
              <w:bottom w:w="90" w:type="dxa"/>
              <w:right w:w="90" w:type="dxa"/>
            </w:tcMar>
          </w:tcPr>
          <w:p w14:paraId="32FEE327">
            <w:pPr>
              <w:rPr>
                <w:rFonts w:asciiTheme="majorBidi" w:hAnsiTheme="majorBidi" w:cstheme="majorBidi"/>
                <w:sz w:val="32"/>
                <w:szCs w:val="32"/>
              </w:rPr>
            </w:pPr>
            <w:r>
              <w:rPr>
                <w:rFonts w:asciiTheme="majorBidi" w:hAnsiTheme="majorBidi" w:cstheme="majorBidi"/>
                <w:sz w:val="22"/>
                <w:szCs w:val="22"/>
              </w:rPr>
              <w:t>Open letter, "ICRC cyber-attack: Sharing our analysis"</w:t>
            </w:r>
          </w:p>
        </w:tc>
        <w:tc>
          <w:tcPr>
            <w:tcW w:w="5400" w:type="dxa"/>
            <w:tcMar>
              <w:top w:w="90" w:type="dxa"/>
              <w:left w:w="90" w:type="dxa"/>
              <w:bottom w:w="90" w:type="dxa"/>
              <w:right w:w="90" w:type="dxa"/>
            </w:tcMar>
          </w:tcPr>
          <w:p w14:paraId="4A8BD20C">
            <w:pPr>
              <w:rPr>
                <w:rFonts w:asciiTheme="majorBidi" w:hAnsiTheme="majorBidi" w:cstheme="majorBidi"/>
                <w:sz w:val="32"/>
                <w:szCs w:val="32"/>
              </w:rPr>
            </w:pPr>
            <w:r>
              <w:rPr>
                <w:rFonts w:asciiTheme="majorBidi" w:hAnsiTheme="majorBidi" w:cstheme="majorBidi"/>
                <w:sz w:val="22"/>
                <w:szCs w:val="22"/>
              </w:rPr>
              <w:t>States the attack was targeted and sophisticated; describes it as exploiting an undetected vulnerability; describes low-tech continuity workarounds (e.g., spreadsheets) for RFL services; frames disclosure as an accountability obligation to partners and affected people.</w:t>
            </w:r>
          </w:p>
        </w:tc>
      </w:tr>
      <w:tr w14:paraId="27DCA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00" w:type="dxa"/>
            <w:tcMar>
              <w:top w:w="90" w:type="dxa"/>
              <w:left w:w="90" w:type="dxa"/>
              <w:bottom w:w="90" w:type="dxa"/>
              <w:right w:w="90" w:type="dxa"/>
            </w:tcMar>
          </w:tcPr>
          <w:p w14:paraId="25F14AF8">
            <w:pPr>
              <w:rPr>
                <w:rFonts w:asciiTheme="majorBidi" w:hAnsiTheme="majorBidi" w:cstheme="majorBidi"/>
                <w:sz w:val="32"/>
                <w:szCs w:val="32"/>
              </w:rPr>
            </w:pPr>
            <w:r>
              <w:rPr>
                <w:rFonts w:asciiTheme="majorBidi" w:hAnsiTheme="majorBidi" w:cstheme="majorBidi"/>
                <w:sz w:val="22"/>
                <w:szCs w:val="22"/>
              </w:rPr>
              <w:t>~Feb 2022 (dated to detection)</w:t>
            </w:r>
          </w:p>
        </w:tc>
        <w:tc>
          <w:tcPr>
            <w:tcW w:w="3000" w:type="dxa"/>
            <w:tcMar>
              <w:top w:w="90" w:type="dxa"/>
              <w:left w:w="90" w:type="dxa"/>
              <w:bottom w:w="90" w:type="dxa"/>
              <w:right w:w="90" w:type="dxa"/>
            </w:tcMar>
          </w:tcPr>
          <w:p w14:paraId="7434E4CB">
            <w:pPr>
              <w:rPr>
                <w:rFonts w:asciiTheme="majorBidi" w:hAnsiTheme="majorBidi" w:cstheme="majorBidi"/>
                <w:sz w:val="32"/>
                <w:szCs w:val="32"/>
              </w:rPr>
            </w:pPr>
            <w:r>
              <w:rPr>
                <w:rFonts w:asciiTheme="majorBidi" w:hAnsiTheme="majorBidi" w:cstheme="majorBidi"/>
                <w:sz w:val="22"/>
                <w:szCs w:val="22"/>
              </w:rPr>
              <w:t>"Cyber-attack on ICRC: What we know" (FAQ)</w:t>
            </w:r>
          </w:p>
        </w:tc>
        <w:tc>
          <w:tcPr>
            <w:tcW w:w="5400" w:type="dxa"/>
            <w:tcMar>
              <w:top w:w="90" w:type="dxa"/>
              <w:left w:w="90" w:type="dxa"/>
              <w:bottom w:w="90" w:type="dxa"/>
              <w:right w:w="90" w:type="dxa"/>
            </w:tcMar>
          </w:tcPr>
          <w:p w14:paraId="73D4D580">
            <w:pPr>
              <w:rPr>
                <w:rFonts w:asciiTheme="majorBidi" w:hAnsiTheme="majorBidi" w:cstheme="majorBidi"/>
                <w:sz w:val="32"/>
                <w:szCs w:val="32"/>
              </w:rPr>
            </w:pPr>
            <w:r>
              <w:rPr>
                <w:rFonts w:asciiTheme="majorBidi" w:hAnsiTheme="majorBidi" w:cstheme="majorBidi"/>
                <w:sz w:val="22"/>
                <w:szCs w:val="22"/>
              </w:rPr>
              <w:t>Discloses intrusion date (9 Nov 2021) and detection date (18 Jan 2022); names the exploited vulnerability (CVE-2021-40539); states no ransom demand and no contact with attackers; states technical architecture details will not be disclosed; describes server relaunch with two-factor authentication and enhanced threat detection.</w:t>
            </w:r>
          </w:p>
        </w:tc>
      </w:tr>
      <w:tr w14:paraId="04EDD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00" w:type="dxa"/>
            <w:tcMar>
              <w:top w:w="90" w:type="dxa"/>
              <w:left w:w="90" w:type="dxa"/>
              <w:bottom w:w="90" w:type="dxa"/>
              <w:right w:w="90" w:type="dxa"/>
            </w:tcMar>
          </w:tcPr>
          <w:p w14:paraId="3AA654B3">
            <w:pPr>
              <w:rPr>
                <w:rFonts w:asciiTheme="majorBidi" w:hAnsiTheme="majorBidi" w:cstheme="majorBidi"/>
                <w:sz w:val="32"/>
                <w:szCs w:val="32"/>
              </w:rPr>
            </w:pPr>
            <w:r>
              <w:rPr>
                <w:rFonts w:asciiTheme="majorBidi" w:hAnsiTheme="majorBidi" w:cstheme="majorBidi"/>
                <w:sz w:val="22"/>
                <w:szCs w:val="22"/>
              </w:rPr>
              <w:t>Undated (post-Feb 2022)</w:t>
            </w:r>
          </w:p>
        </w:tc>
        <w:tc>
          <w:tcPr>
            <w:tcW w:w="3000" w:type="dxa"/>
            <w:tcMar>
              <w:top w:w="90" w:type="dxa"/>
              <w:left w:w="90" w:type="dxa"/>
              <w:bottom w:w="90" w:type="dxa"/>
              <w:right w:w="90" w:type="dxa"/>
            </w:tcMar>
          </w:tcPr>
          <w:p w14:paraId="087FBBD7">
            <w:pPr>
              <w:rPr>
                <w:rFonts w:asciiTheme="majorBidi" w:hAnsiTheme="majorBidi" w:cstheme="majorBidi"/>
                <w:sz w:val="32"/>
                <w:szCs w:val="32"/>
              </w:rPr>
            </w:pPr>
            <w:r>
              <w:rPr>
                <w:rFonts w:asciiTheme="majorBidi" w:hAnsiTheme="majorBidi" w:cstheme="majorBidi"/>
                <w:sz w:val="22"/>
                <w:szCs w:val="22"/>
              </w:rPr>
              <w:t>"Cyber security incident: How could it affect me?"</w:t>
            </w:r>
          </w:p>
        </w:tc>
        <w:tc>
          <w:tcPr>
            <w:tcW w:w="5400" w:type="dxa"/>
            <w:tcMar>
              <w:top w:w="90" w:type="dxa"/>
              <w:left w:w="90" w:type="dxa"/>
              <w:bottom w:w="90" w:type="dxa"/>
              <w:right w:w="90" w:type="dxa"/>
            </w:tcMar>
          </w:tcPr>
          <w:p w14:paraId="38517C4A">
            <w:pPr>
              <w:rPr>
                <w:rFonts w:asciiTheme="majorBidi" w:hAnsiTheme="majorBidi" w:cstheme="majorBidi"/>
                <w:sz w:val="32"/>
                <w:szCs w:val="32"/>
              </w:rPr>
            </w:pPr>
            <w:r>
              <w:rPr>
                <w:rFonts w:asciiTheme="majorBidi" w:hAnsiTheme="majorBidi" w:cstheme="majorBidi"/>
                <w:sz w:val="22"/>
                <w:szCs w:val="22"/>
              </w:rPr>
              <w:t>Beneficiary-directed guidance; clarifies not everyone who used the services was affected; provides contact channels; confirms continuity of Restoring Family Links services.</w:t>
            </w:r>
          </w:p>
        </w:tc>
      </w:tr>
    </w:tbl>
    <w:p w14:paraId="1F92DEE5">
      <w:pPr>
        <w:spacing w:before="60" w:after="180"/>
      </w:pPr>
      <w:r>
        <w:rPr>
          <w:i/>
          <w:sz w:val="18"/>
        </w:rPr>
        <w:t>Source: Author's own corpus compilation, drawn directly from official ICRC documents (icrc.org), as cited in Section 12.2 and the References.</w:t>
      </w:r>
    </w:p>
    <w:p w14:paraId="744D56A0">
      <w:pPr>
        <w:spacing w:after="200" w:line="360" w:lineRule="auto"/>
        <w:jc w:val="both"/>
        <w:rPr>
          <w:rFonts w:asciiTheme="majorBidi" w:hAnsiTheme="majorBidi" w:cstheme="majorBidi"/>
          <w:sz w:val="32"/>
          <w:szCs w:val="32"/>
        </w:rPr>
      </w:pPr>
      <w:r>
        <w:rPr>
          <w:rFonts w:asciiTheme="majorBidi" w:hAnsiTheme="majorBidi" w:cstheme="majorBidi"/>
          <w:sz w:val="32"/>
          <w:szCs w:val="32"/>
        </w:rPr>
        <w:t xml:space="preserve"> </w:t>
      </w:r>
    </w:p>
    <w:p w14:paraId="7C93DD01">
      <w:pPr>
        <w:pStyle w:val="3"/>
        <w:spacing w:before="260" w:after="140"/>
        <w:rPr>
          <w:rFonts w:asciiTheme="majorBidi" w:hAnsiTheme="majorBidi" w:cstheme="majorBidi"/>
          <w:sz w:val="32"/>
          <w:szCs w:val="32"/>
        </w:rPr>
      </w:pPr>
      <w:r>
        <w:rPr>
          <w:rFonts w:asciiTheme="majorBidi" w:hAnsiTheme="majorBidi" w:cstheme="majorBidi"/>
          <w:b/>
          <w:bCs/>
          <w:sz w:val="32"/>
          <w:szCs w:val="32"/>
        </w:rPr>
        <w:t>12.3 WFP - Level A Communications</w:t>
      </w:r>
    </w:p>
    <w:p w14:paraId="7777C3AE">
      <w:pPr>
        <w:spacing w:before="180" w:after="60"/>
      </w:pPr>
      <w:r>
        <w:rPr>
          <w:b/>
          <w:sz w:val="20"/>
        </w:rPr>
        <w:t>Table 8. WFP Level A Communications Included in the Corpus</w:t>
      </w:r>
    </w:p>
    <w:tbl>
      <w:tblPr>
        <w:tblStyle w:val="9"/>
        <w:tblW w:w="9800" w:type="dxa"/>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400"/>
        <w:gridCol w:w="3000"/>
        <w:gridCol w:w="5400"/>
      </w:tblGrid>
      <w:tr w14:paraId="45520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00" w:type="dxa"/>
            <w:shd w:val="clear" w:color="auto" w:fill="D9E2F3"/>
            <w:tcMar>
              <w:top w:w="90" w:type="dxa"/>
              <w:left w:w="90" w:type="dxa"/>
              <w:bottom w:w="90" w:type="dxa"/>
              <w:right w:w="90" w:type="dxa"/>
            </w:tcMar>
          </w:tcPr>
          <w:p w14:paraId="06A607D4">
            <w:pPr>
              <w:rPr>
                <w:rFonts w:asciiTheme="majorBidi" w:hAnsiTheme="majorBidi" w:cstheme="majorBidi"/>
                <w:sz w:val="32"/>
                <w:szCs w:val="32"/>
              </w:rPr>
            </w:pPr>
            <w:r>
              <w:rPr>
                <w:rFonts w:asciiTheme="majorBidi" w:hAnsiTheme="majorBidi" w:cstheme="majorBidi"/>
                <w:b/>
                <w:bCs/>
                <w:sz w:val="22"/>
                <w:szCs w:val="22"/>
              </w:rPr>
              <w:t>Date</w:t>
            </w:r>
          </w:p>
        </w:tc>
        <w:tc>
          <w:tcPr>
            <w:tcW w:w="3000" w:type="dxa"/>
            <w:shd w:val="clear" w:color="auto" w:fill="D9E2F3"/>
            <w:tcMar>
              <w:top w:w="90" w:type="dxa"/>
              <w:left w:w="90" w:type="dxa"/>
              <w:bottom w:w="90" w:type="dxa"/>
              <w:right w:w="90" w:type="dxa"/>
            </w:tcMar>
          </w:tcPr>
          <w:p w14:paraId="41104321">
            <w:pPr>
              <w:rPr>
                <w:rFonts w:asciiTheme="majorBidi" w:hAnsiTheme="majorBidi" w:cstheme="majorBidi"/>
                <w:sz w:val="32"/>
                <w:szCs w:val="32"/>
              </w:rPr>
            </w:pPr>
            <w:r>
              <w:rPr>
                <w:rFonts w:asciiTheme="majorBidi" w:hAnsiTheme="majorBidi" w:cstheme="majorBidi"/>
                <w:b/>
                <w:bCs/>
                <w:sz w:val="22"/>
                <w:szCs w:val="22"/>
              </w:rPr>
              <w:t>Document (official WFP)</w:t>
            </w:r>
          </w:p>
        </w:tc>
        <w:tc>
          <w:tcPr>
            <w:tcW w:w="5400" w:type="dxa"/>
            <w:shd w:val="clear" w:color="auto" w:fill="D9E2F3"/>
            <w:tcMar>
              <w:top w:w="90" w:type="dxa"/>
              <w:left w:w="90" w:type="dxa"/>
              <w:bottom w:w="90" w:type="dxa"/>
              <w:right w:w="90" w:type="dxa"/>
            </w:tcMar>
          </w:tcPr>
          <w:p w14:paraId="45E7F296">
            <w:pPr>
              <w:rPr>
                <w:rFonts w:asciiTheme="majorBidi" w:hAnsiTheme="majorBidi" w:cstheme="majorBidi"/>
                <w:sz w:val="32"/>
                <w:szCs w:val="32"/>
              </w:rPr>
            </w:pPr>
            <w:r>
              <w:rPr>
                <w:rFonts w:asciiTheme="majorBidi" w:hAnsiTheme="majorBidi" w:cstheme="majorBidi"/>
                <w:b/>
                <w:bCs/>
                <w:sz w:val="22"/>
                <w:szCs w:val="22"/>
              </w:rPr>
              <w:t>Key documented content</w:t>
            </w:r>
          </w:p>
        </w:tc>
      </w:tr>
      <w:tr w14:paraId="03B30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00" w:type="dxa"/>
            <w:tcMar>
              <w:top w:w="90" w:type="dxa"/>
              <w:left w:w="90" w:type="dxa"/>
              <w:bottom w:w="90" w:type="dxa"/>
              <w:right w:w="90" w:type="dxa"/>
            </w:tcMar>
          </w:tcPr>
          <w:p w14:paraId="18585085">
            <w:pPr>
              <w:rPr>
                <w:rFonts w:asciiTheme="majorBidi" w:hAnsiTheme="majorBidi" w:cstheme="majorBidi"/>
                <w:sz w:val="32"/>
                <w:szCs w:val="32"/>
              </w:rPr>
            </w:pPr>
            <w:r>
              <w:rPr>
                <w:rFonts w:asciiTheme="majorBidi" w:hAnsiTheme="majorBidi" w:cstheme="majorBidi"/>
                <w:sz w:val="22"/>
                <w:szCs w:val="22"/>
              </w:rPr>
              <w:t>31 May 2026</w:t>
            </w:r>
          </w:p>
        </w:tc>
        <w:tc>
          <w:tcPr>
            <w:tcW w:w="3000" w:type="dxa"/>
            <w:tcMar>
              <w:top w:w="90" w:type="dxa"/>
              <w:left w:w="90" w:type="dxa"/>
              <w:bottom w:w="90" w:type="dxa"/>
              <w:right w:w="90" w:type="dxa"/>
            </w:tcMar>
          </w:tcPr>
          <w:p w14:paraId="07A2DF8A">
            <w:pPr>
              <w:rPr>
                <w:rFonts w:asciiTheme="majorBidi" w:hAnsiTheme="majorBidi" w:cstheme="majorBidi"/>
                <w:sz w:val="32"/>
                <w:szCs w:val="32"/>
              </w:rPr>
            </w:pPr>
            <w:r>
              <w:rPr>
                <w:rFonts w:asciiTheme="majorBidi" w:hAnsiTheme="majorBidi" w:cstheme="majorBidi"/>
                <w:sz w:val="22"/>
                <w:szCs w:val="22"/>
              </w:rPr>
              <w:t>Telegram notification to beneficiaries (also partially via email, per independent reporting)</w:t>
            </w:r>
          </w:p>
        </w:tc>
        <w:tc>
          <w:tcPr>
            <w:tcW w:w="5400" w:type="dxa"/>
            <w:tcMar>
              <w:top w:w="90" w:type="dxa"/>
              <w:left w:w="90" w:type="dxa"/>
              <w:bottom w:w="90" w:type="dxa"/>
              <w:right w:w="90" w:type="dxa"/>
            </w:tcMar>
          </w:tcPr>
          <w:p w14:paraId="6B2348DD">
            <w:pPr>
              <w:rPr>
                <w:rFonts w:asciiTheme="majorBidi" w:hAnsiTheme="majorBidi" w:cstheme="majorBidi"/>
                <w:sz w:val="32"/>
                <w:szCs w:val="32"/>
              </w:rPr>
            </w:pPr>
            <w:r>
              <w:rPr>
                <w:rFonts w:asciiTheme="majorBidi" w:hAnsiTheme="majorBidi" w:cstheme="majorBidi"/>
                <w:sz w:val="22"/>
                <w:szCs w:val="22"/>
              </w:rPr>
              <w:t>Describes a "security-related incident" in which "unauthorised actors" accessed personal data; specifies data categories affected (names, ID numbers, mobile numbers, location data); advises no need to re-register; warns against impersonation attempts.</w:t>
            </w:r>
          </w:p>
        </w:tc>
      </w:tr>
      <w:tr w14:paraId="73206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00" w:type="dxa"/>
            <w:tcMar>
              <w:top w:w="90" w:type="dxa"/>
              <w:left w:w="90" w:type="dxa"/>
              <w:bottom w:w="90" w:type="dxa"/>
              <w:right w:w="90" w:type="dxa"/>
            </w:tcMar>
          </w:tcPr>
          <w:p w14:paraId="01705230">
            <w:pPr>
              <w:rPr>
                <w:rFonts w:asciiTheme="majorBidi" w:hAnsiTheme="majorBidi" w:cstheme="majorBidi"/>
                <w:sz w:val="32"/>
                <w:szCs w:val="32"/>
              </w:rPr>
            </w:pPr>
            <w:r>
              <w:rPr>
                <w:rFonts w:asciiTheme="majorBidi" w:hAnsiTheme="majorBidi" w:cstheme="majorBidi"/>
                <w:sz w:val="22"/>
                <w:szCs w:val="22"/>
              </w:rPr>
              <w:t>2 Jun 2026</w:t>
            </w:r>
          </w:p>
        </w:tc>
        <w:tc>
          <w:tcPr>
            <w:tcW w:w="3000" w:type="dxa"/>
            <w:tcMar>
              <w:top w:w="90" w:type="dxa"/>
              <w:left w:w="90" w:type="dxa"/>
              <w:bottom w:w="90" w:type="dxa"/>
              <w:right w:w="90" w:type="dxa"/>
            </w:tcMar>
          </w:tcPr>
          <w:p w14:paraId="3A8ED7F0">
            <w:pPr>
              <w:rPr>
                <w:rFonts w:asciiTheme="majorBidi" w:hAnsiTheme="majorBidi" w:cstheme="majorBidi"/>
                <w:sz w:val="32"/>
                <w:szCs w:val="32"/>
              </w:rPr>
            </w:pPr>
            <w:r>
              <w:rPr>
                <w:rFonts w:asciiTheme="majorBidi" w:hAnsiTheme="majorBidi" w:cstheme="majorBidi"/>
                <w:sz w:val="22"/>
                <w:szCs w:val="22"/>
              </w:rPr>
              <w:t>Official statement to The New Humanitarian</w:t>
            </w:r>
          </w:p>
        </w:tc>
        <w:tc>
          <w:tcPr>
            <w:tcW w:w="5400" w:type="dxa"/>
            <w:tcMar>
              <w:top w:w="90" w:type="dxa"/>
              <w:left w:w="90" w:type="dxa"/>
              <w:bottom w:w="90" w:type="dxa"/>
              <w:right w:w="90" w:type="dxa"/>
            </w:tcMar>
          </w:tcPr>
          <w:p w14:paraId="60FF11E4">
            <w:pPr>
              <w:rPr>
                <w:rFonts w:asciiTheme="majorBidi" w:hAnsiTheme="majorBidi" w:cstheme="majorBidi"/>
                <w:sz w:val="32"/>
                <w:szCs w:val="32"/>
              </w:rPr>
            </w:pPr>
            <w:r>
              <w:rPr>
                <w:rFonts w:asciiTheme="majorBidi" w:hAnsiTheme="majorBidi" w:cstheme="majorBidi"/>
                <w:sz w:val="22"/>
                <w:szCs w:val="22"/>
              </w:rPr>
              <w:t>Confirms "unauthorized access of its self-registration application (SRA) for Palestine"; states WFP "took immediate action to shut down the platform, contain the intrusion, and strengthen its security controls."</w:t>
            </w:r>
          </w:p>
        </w:tc>
      </w:tr>
      <w:tr w14:paraId="4E679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00" w:type="dxa"/>
            <w:tcMar>
              <w:top w:w="90" w:type="dxa"/>
              <w:left w:w="90" w:type="dxa"/>
              <w:bottom w:w="90" w:type="dxa"/>
              <w:right w:w="90" w:type="dxa"/>
            </w:tcMar>
          </w:tcPr>
          <w:p w14:paraId="71C6C887">
            <w:pPr>
              <w:rPr>
                <w:rFonts w:asciiTheme="majorBidi" w:hAnsiTheme="majorBidi" w:cstheme="majorBidi"/>
                <w:sz w:val="32"/>
                <w:szCs w:val="32"/>
              </w:rPr>
            </w:pPr>
            <w:r>
              <w:rPr>
                <w:rFonts w:asciiTheme="majorBidi" w:hAnsiTheme="majorBidi" w:cstheme="majorBidi"/>
                <w:sz w:val="22"/>
                <w:szCs w:val="22"/>
              </w:rPr>
              <w:t>2 Jun 2026</w:t>
            </w:r>
          </w:p>
        </w:tc>
        <w:tc>
          <w:tcPr>
            <w:tcW w:w="3000" w:type="dxa"/>
            <w:tcMar>
              <w:top w:w="90" w:type="dxa"/>
              <w:left w:w="90" w:type="dxa"/>
              <w:bottom w:w="90" w:type="dxa"/>
              <w:right w:w="90" w:type="dxa"/>
            </w:tcMar>
          </w:tcPr>
          <w:p w14:paraId="742E1982">
            <w:pPr>
              <w:rPr>
                <w:rFonts w:asciiTheme="majorBidi" w:hAnsiTheme="majorBidi" w:cstheme="majorBidi"/>
                <w:sz w:val="32"/>
                <w:szCs w:val="32"/>
              </w:rPr>
            </w:pPr>
            <w:r>
              <w:rPr>
                <w:rFonts w:asciiTheme="majorBidi" w:hAnsiTheme="majorBidi" w:cstheme="majorBidi"/>
                <w:sz w:val="22"/>
                <w:szCs w:val="22"/>
              </w:rPr>
              <w:t>Follow-up Telegram message</w:t>
            </w:r>
          </w:p>
        </w:tc>
        <w:tc>
          <w:tcPr>
            <w:tcW w:w="5400" w:type="dxa"/>
            <w:tcMar>
              <w:top w:w="90" w:type="dxa"/>
              <w:left w:w="90" w:type="dxa"/>
              <w:bottom w:w="90" w:type="dxa"/>
              <w:right w:w="90" w:type="dxa"/>
            </w:tcMar>
          </w:tcPr>
          <w:p w14:paraId="064533BE">
            <w:pPr>
              <w:rPr>
                <w:rFonts w:asciiTheme="majorBidi" w:hAnsiTheme="majorBidi" w:cstheme="majorBidi"/>
                <w:sz w:val="32"/>
                <w:szCs w:val="32"/>
              </w:rPr>
            </w:pPr>
            <w:r>
              <w:rPr>
                <w:rFonts w:asciiTheme="majorBidi" w:hAnsiTheme="majorBidi" w:cstheme="majorBidi"/>
                <w:sz w:val="22"/>
                <w:szCs w:val="22"/>
              </w:rPr>
              <w:t>States the application was temporarily disabled for the time needed to strengthen cybersecurity and data-protection measures (per Access Now's documented account of WFP's own message).</w:t>
            </w:r>
          </w:p>
        </w:tc>
      </w:tr>
      <w:tr w14:paraId="55466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00" w:type="dxa"/>
            <w:tcMar>
              <w:top w:w="90" w:type="dxa"/>
              <w:left w:w="90" w:type="dxa"/>
              <w:bottom w:w="90" w:type="dxa"/>
              <w:right w:w="90" w:type="dxa"/>
            </w:tcMar>
          </w:tcPr>
          <w:p w14:paraId="5C2969A1">
            <w:pPr>
              <w:rPr>
                <w:rFonts w:asciiTheme="majorBidi" w:hAnsiTheme="majorBidi" w:cstheme="majorBidi"/>
                <w:sz w:val="32"/>
                <w:szCs w:val="32"/>
              </w:rPr>
            </w:pPr>
            <w:r>
              <w:rPr>
                <w:rFonts w:asciiTheme="majorBidi" w:hAnsiTheme="majorBidi" w:cstheme="majorBidi"/>
                <w:sz w:val="22"/>
                <w:szCs w:val="22"/>
              </w:rPr>
              <w:t>9 Jun 2026</w:t>
            </w:r>
          </w:p>
        </w:tc>
        <w:tc>
          <w:tcPr>
            <w:tcW w:w="3000" w:type="dxa"/>
            <w:tcMar>
              <w:top w:w="90" w:type="dxa"/>
              <w:left w:w="90" w:type="dxa"/>
              <w:bottom w:w="90" w:type="dxa"/>
              <w:right w:w="90" w:type="dxa"/>
            </w:tcMar>
          </w:tcPr>
          <w:p w14:paraId="7A9957F7">
            <w:pPr>
              <w:rPr>
                <w:rFonts w:asciiTheme="majorBidi" w:hAnsiTheme="majorBidi" w:cstheme="majorBidi"/>
                <w:sz w:val="32"/>
                <w:szCs w:val="32"/>
              </w:rPr>
            </w:pPr>
            <w:r>
              <w:rPr>
                <w:rFonts w:asciiTheme="majorBidi" w:hAnsiTheme="majorBidi" w:cstheme="majorBidi"/>
                <w:sz w:val="22"/>
                <w:szCs w:val="22"/>
              </w:rPr>
              <w:t>WFP Palestine Emergency Response External Situation Report #90 (reporting period 1-31 May 2026)</w:t>
            </w:r>
          </w:p>
        </w:tc>
        <w:tc>
          <w:tcPr>
            <w:tcW w:w="5400" w:type="dxa"/>
            <w:tcMar>
              <w:top w:w="90" w:type="dxa"/>
              <w:left w:w="90" w:type="dxa"/>
              <w:bottom w:w="90" w:type="dxa"/>
              <w:right w:w="90" w:type="dxa"/>
            </w:tcMar>
          </w:tcPr>
          <w:p w14:paraId="594AFB9C">
            <w:pPr>
              <w:rPr>
                <w:rFonts w:asciiTheme="majorBidi" w:hAnsiTheme="majorBidi" w:cstheme="majorBidi"/>
                <w:sz w:val="32"/>
                <w:szCs w:val="32"/>
              </w:rPr>
            </w:pPr>
            <w:r>
              <w:rPr>
                <w:rFonts w:asciiTheme="majorBidi" w:hAnsiTheme="majorBidi" w:cstheme="majorBidi"/>
                <w:sz w:val="22"/>
                <w:szCs w:val="22"/>
              </w:rPr>
              <w:t>Official situation report confirming the incident, immediate platform shutdown, containment, security reinforcement, continuation of assistance to existing beneficiaries, and non-impact on other WFP systems (e.g., SCOPE).</w:t>
            </w:r>
          </w:p>
        </w:tc>
      </w:tr>
      <w:tr w14:paraId="1D944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00" w:type="dxa"/>
            <w:tcMar>
              <w:top w:w="90" w:type="dxa"/>
              <w:left w:w="90" w:type="dxa"/>
              <w:bottom w:w="90" w:type="dxa"/>
              <w:right w:w="90" w:type="dxa"/>
            </w:tcMar>
          </w:tcPr>
          <w:p w14:paraId="331A2452">
            <w:pPr>
              <w:rPr>
                <w:rFonts w:asciiTheme="majorBidi" w:hAnsiTheme="majorBidi" w:cstheme="majorBidi"/>
                <w:sz w:val="32"/>
                <w:szCs w:val="32"/>
              </w:rPr>
            </w:pPr>
            <w:r>
              <w:rPr>
                <w:rFonts w:asciiTheme="majorBidi" w:hAnsiTheme="majorBidi" w:cstheme="majorBidi"/>
                <w:sz w:val="22"/>
                <w:szCs w:val="22"/>
              </w:rPr>
              <w:t>25-29 Jul 2026</w:t>
            </w:r>
          </w:p>
        </w:tc>
        <w:tc>
          <w:tcPr>
            <w:tcW w:w="3000" w:type="dxa"/>
            <w:tcMar>
              <w:top w:w="90" w:type="dxa"/>
              <w:left w:w="90" w:type="dxa"/>
              <w:bottom w:w="90" w:type="dxa"/>
              <w:right w:w="90" w:type="dxa"/>
            </w:tcMar>
          </w:tcPr>
          <w:p w14:paraId="02F18BF7">
            <w:pPr>
              <w:rPr>
                <w:rFonts w:asciiTheme="majorBidi" w:hAnsiTheme="majorBidi" w:cstheme="majorBidi"/>
                <w:sz w:val="32"/>
                <w:szCs w:val="32"/>
              </w:rPr>
            </w:pPr>
            <w:r>
              <w:rPr>
                <w:rFonts w:asciiTheme="majorBidi" w:hAnsiTheme="majorBidi" w:cstheme="majorBidi"/>
                <w:sz w:val="22"/>
                <w:szCs w:val="22"/>
              </w:rPr>
              <w:t>Telegram teaser message to beneficiaries ("Coming soon!!"); PDF update document addressed to partner organizations</w:t>
            </w:r>
          </w:p>
        </w:tc>
        <w:tc>
          <w:tcPr>
            <w:tcW w:w="5400" w:type="dxa"/>
            <w:tcMar>
              <w:top w:w="90" w:type="dxa"/>
              <w:left w:w="90" w:type="dxa"/>
              <w:bottom w:w="90" w:type="dxa"/>
              <w:right w:w="90" w:type="dxa"/>
            </w:tcMar>
          </w:tcPr>
          <w:p w14:paraId="5668CE18">
            <w:pPr>
              <w:rPr>
                <w:rFonts w:asciiTheme="majorBidi" w:hAnsiTheme="majorBidi" w:cstheme="majorBidi"/>
                <w:sz w:val="32"/>
                <w:szCs w:val="32"/>
              </w:rPr>
            </w:pPr>
            <w:r>
              <w:rPr>
                <w:rFonts w:asciiTheme="majorBidi" w:hAnsiTheme="majorBidi" w:cstheme="majorBidi"/>
                <w:sz w:val="22"/>
                <w:szCs w:val="22"/>
              </w:rPr>
              <w:t>Announces the self-registration app is restarting after unspecified 'improvements to strengthen the security of the system'; states third-party security scans were conducted and security posture strengthened; does not disclose investigation findings, a risk assessment, or the total number of people affected. This was WFP's first reply to journalist questions since 3 June 2026, indicating an approximately eight-week gap in public official communication on the incident.</w:t>
            </w:r>
          </w:p>
        </w:tc>
      </w:tr>
    </w:tbl>
    <w:p w14:paraId="553DFD48">
      <w:pPr>
        <w:spacing w:before="60" w:after="180"/>
      </w:pPr>
      <w:r>
        <w:rPr>
          <w:i/>
          <w:sz w:val="18"/>
        </w:rPr>
        <w:t>Source: Author's own corpus compilation, drawn from official WFP statements as reproduced in The New Humanitarian (2026), Access Now (2026), and DataBreaches.Net (2026); see Section 12.3 and the WFP Source Verification Audit (Table 9).</w:t>
      </w:r>
    </w:p>
    <w:p w14:paraId="7ADA2638">
      <w:pPr>
        <w:spacing w:after="200" w:line="360" w:lineRule="auto"/>
        <w:jc w:val="both"/>
        <w:rPr>
          <w:rFonts w:asciiTheme="majorBidi" w:hAnsiTheme="majorBidi" w:cstheme="majorBidi"/>
          <w:sz w:val="32"/>
          <w:szCs w:val="32"/>
        </w:rPr>
      </w:pPr>
      <w:r>
        <w:rPr>
          <w:rFonts w:asciiTheme="majorBidi" w:hAnsiTheme="majorBidi" w:cstheme="majorBidi"/>
          <w:sz w:val="32"/>
          <w:szCs w:val="32"/>
        </w:rPr>
        <w:t xml:space="preserve"> </w:t>
      </w:r>
    </w:p>
    <w:p w14:paraId="0D739831">
      <w:pPr>
        <w:spacing w:after="200" w:line="360" w:lineRule="auto"/>
        <w:jc w:val="both"/>
        <w:rPr>
          <w:rFonts w:asciiTheme="majorBidi" w:hAnsiTheme="majorBidi" w:cstheme="majorBidi"/>
          <w:sz w:val="32"/>
          <w:szCs w:val="32"/>
        </w:rPr>
      </w:pPr>
      <w:r>
        <w:rPr>
          <w:rFonts w:asciiTheme="majorBidi" w:hAnsiTheme="majorBidi" w:cstheme="majorBidi"/>
          <w:sz w:val="32"/>
          <w:szCs w:val="32"/>
        </w:rPr>
        <w:t>Per the requirement to audit every WFP document individually rather than treat secondary-quoted material as equivalent to directly retrieved primary text, Table 9 (WFP Source Verification Audit) below classifies each WFP document's evidentiary status. Where a document is secondary-sourced, in-text language throughout this manuscript uses attributions such as 'a contemporaneous report quotes WFP as stating...' rather than an unqualified 'WFP stated...'.</w:t>
      </w:r>
    </w:p>
    <w:p w14:paraId="382BE0DC">
      <w:pPr>
        <w:spacing w:before="180" w:after="60"/>
      </w:pPr>
      <w:r>
        <w:rPr>
          <w:b/>
          <w:sz w:val="20"/>
        </w:rPr>
        <w:t>Table 9. WFP Source Verification Audit</w:t>
      </w:r>
    </w:p>
    <w:tbl>
      <w:tblPr>
        <w:tblStyle w:val="9"/>
        <w:tblW w:w="9500" w:type="dxa"/>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900"/>
        <w:gridCol w:w="1900"/>
        <w:gridCol w:w="1900"/>
        <w:gridCol w:w="1900"/>
        <w:gridCol w:w="1900"/>
      </w:tblGrid>
      <w:tr w14:paraId="7B250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00" w:type="dxa"/>
            <w:shd w:val="clear" w:color="auto" w:fill="D9E2F3"/>
            <w:tcMar>
              <w:top w:w="90" w:type="dxa"/>
              <w:left w:w="90" w:type="dxa"/>
              <w:bottom w:w="90" w:type="dxa"/>
              <w:right w:w="90" w:type="dxa"/>
            </w:tcMar>
          </w:tcPr>
          <w:p w14:paraId="36677D0A">
            <w:pPr>
              <w:rPr>
                <w:rFonts w:asciiTheme="majorBidi" w:hAnsiTheme="majorBidi" w:cstheme="majorBidi"/>
                <w:sz w:val="32"/>
                <w:szCs w:val="32"/>
              </w:rPr>
            </w:pPr>
            <w:r>
              <w:rPr>
                <w:rFonts w:asciiTheme="majorBidi" w:hAnsiTheme="majorBidi" w:cstheme="majorBidi"/>
                <w:b/>
                <w:bCs/>
                <w:sz w:val="22"/>
                <w:szCs w:val="22"/>
              </w:rPr>
              <w:t>WFP document</w:t>
            </w:r>
          </w:p>
        </w:tc>
        <w:tc>
          <w:tcPr>
            <w:tcW w:w="1900" w:type="dxa"/>
            <w:shd w:val="clear" w:color="auto" w:fill="D9E2F3"/>
            <w:tcMar>
              <w:top w:w="90" w:type="dxa"/>
              <w:left w:w="90" w:type="dxa"/>
              <w:bottom w:w="90" w:type="dxa"/>
              <w:right w:w="90" w:type="dxa"/>
            </w:tcMar>
          </w:tcPr>
          <w:p w14:paraId="0548053C">
            <w:pPr>
              <w:rPr>
                <w:rFonts w:asciiTheme="majorBidi" w:hAnsiTheme="majorBidi" w:cstheme="majorBidi"/>
                <w:sz w:val="32"/>
                <w:szCs w:val="32"/>
              </w:rPr>
            </w:pPr>
            <w:r>
              <w:rPr>
                <w:rFonts w:asciiTheme="majorBidi" w:hAnsiTheme="majorBidi" w:cstheme="majorBidi"/>
                <w:b/>
                <w:bCs/>
                <w:sz w:val="22"/>
                <w:szCs w:val="22"/>
              </w:rPr>
              <w:t>Primary source directly retrievable?</w:t>
            </w:r>
          </w:p>
        </w:tc>
        <w:tc>
          <w:tcPr>
            <w:tcW w:w="1900" w:type="dxa"/>
            <w:shd w:val="clear" w:color="auto" w:fill="D9E2F3"/>
            <w:tcMar>
              <w:top w:w="90" w:type="dxa"/>
              <w:left w:w="90" w:type="dxa"/>
              <w:bottom w:w="90" w:type="dxa"/>
              <w:right w:w="90" w:type="dxa"/>
            </w:tcMar>
          </w:tcPr>
          <w:p w14:paraId="472781FE">
            <w:pPr>
              <w:rPr>
                <w:rFonts w:asciiTheme="majorBidi" w:hAnsiTheme="majorBidi" w:cstheme="majorBidi"/>
                <w:sz w:val="32"/>
                <w:szCs w:val="32"/>
              </w:rPr>
            </w:pPr>
            <w:r>
              <w:rPr>
                <w:rFonts w:asciiTheme="majorBidi" w:hAnsiTheme="majorBidi" w:cstheme="majorBidi"/>
                <w:b/>
                <w:bCs/>
                <w:sz w:val="22"/>
                <w:szCs w:val="22"/>
              </w:rPr>
              <w:t>Secondary source?</w:t>
            </w:r>
          </w:p>
        </w:tc>
        <w:tc>
          <w:tcPr>
            <w:tcW w:w="1900" w:type="dxa"/>
            <w:shd w:val="clear" w:color="auto" w:fill="D9E2F3"/>
            <w:tcMar>
              <w:top w:w="90" w:type="dxa"/>
              <w:left w:w="90" w:type="dxa"/>
              <w:bottom w:w="90" w:type="dxa"/>
              <w:right w:w="90" w:type="dxa"/>
            </w:tcMar>
          </w:tcPr>
          <w:p w14:paraId="059145E8">
            <w:pPr>
              <w:rPr>
                <w:rFonts w:asciiTheme="majorBidi" w:hAnsiTheme="majorBidi" w:cstheme="majorBidi"/>
                <w:sz w:val="32"/>
                <w:szCs w:val="32"/>
              </w:rPr>
            </w:pPr>
            <w:r>
              <w:rPr>
                <w:rFonts w:asciiTheme="majorBidi" w:hAnsiTheme="majorBidi" w:cstheme="majorBidi"/>
                <w:b/>
                <w:bCs/>
                <w:sz w:val="22"/>
                <w:szCs w:val="22"/>
              </w:rPr>
              <w:t>Exact quotation available?</w:t>
            </w:r>
          </w:p>
        </w:tc>
        <w:tc>
          <w:tcPr>
            <w:tcW w:w="1900" w:type="dxa"/>
            <w:shd w:val="clear" w:color="auto" w:fill="D9E2F3"/>
            <w:tcMar>
              <w:top w:w="90" w:type="dxa"/>
              <w:left w:w="90" w:type="dxa"/>
              <w:bottom w:w="90" w:type="dxa"/>
              <w:right w:w="90" w:type="dxa"/>
            </w:tcMar>
          </w:tcPr>
          <w:p w14:paraId="4FB82297">
            <w:pPr>
              <w:rPr>
                <w:rFonts w:asciiTheme="majorBidi" w:hAnsiTheme="majorBidi" w:cstheme="majorBidi"/>
                <w:sz w:val="32"/>
                <w:szCs w:val="32"/>
              </w:rPr>
            </w:pPr>
            <w:r>
              <w:rPr>
                <w:rFonts w:asciiTheme="majorBidi" w:hAnsiTheme="majorBidi" w:cstheme="majorBidi"/>
                <w:b/>
                <w:bCs/>
                <w:sz w:val="22"/>
                <w:szCs w:val="22"/>
              </w:rPr>
              <w:t>Coding confidence</w:t>
            </w:r>
          </w:p>
        </w:tc>
      </w:tr>
      <w:tr w14:paraId="02A5A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00" w:type="dxa"/>
            <w:tcMar>
              <w:top w:w="90" w:type="dxa"/>
              <w:left w:w="90" w:type="dxa"/>
              <w:bottom w:w="90" w:type="dxa"/>
              <w:right w:w="90" w:type="dxa"/>
            </w:tcMar>
          </w:tcPr>
          <w:p w14:paraId="32339DBF">
            <w:pPr>
              <w:rPr>
                <w:rFonts w:asciiTheme="majorBidi" w:hAnsiTheme="majorBidi" w:cstheme="majorBidi"/>
                <w:sz w:val="32"/>
                <w:szCs w:val="32"/>
              </w:rPr>
            </w:pPr>
            <w:r>
              <w:rPr>
                <w:rFonts w:asciiTheme="majorBidi" w:hAnsiTheme="majorBidi" w:cstheme="majorBidi"/>
                <w:sz w:val="22"/>
                <w:szCs w:val="22"/>
              </w:rPr>
              <w:t>WFP-01 (31 May 2026 Telegram notification)</w:t>
            </w:r>
          </w:p>
        </w:tc>
        <w:tc>
          <w:tcPr>
            <w:tcW w:w="1900" w:type="dxa"/>
            <w:tcMar>
              <w:top w:w="90" w:type="dxa"/>
              <w:left w:w="90" w:type="dxa"/>
              <w:bottom w:w="90" w:type="dxa"/>
              <w:right w:w="90" w:type="dxa"/>
            </w:tcMar>
          </w:tcPr>
          <w:p w14:paraId="6A73E4F3">
            <w:pPr>
              <w:rPr>
                <w:rFonts w:asciiTheme="majorBidi" w:hAnsiTheme="majorBidi" w:cstheme="majorBidi"/>
                <w:sz w:val="32"/>
                <w:szCs w:val="32"/>
              </w:rPr>
            </w:pPr>
            <w:r>
              <w:rPr>
                <w:rFonts w:asciiTheme="majorBidi" w:hAnsiTheme="majorBidi" w:cstheme="majorBidi"/>
                <w:sz w:val="22"/>
                <w:szCs w:val="22"/>
              </w:rPr>
              <w:t>No - Telegram has no stable public archive page for this message</w:t>
            </w:r>
          </w:p>
        </w:tc>
        <w:tc>
          <w:tcPr>
            <w:tcW w:w="1900" w:type="dxa"/>
            <w:tcMar>
              <w:top w:w="90" w:type="dxa"/>
              <w:left w:w="90" w:type="dxa"/>
              <w:bottom w:w="90" w:type="dxa"/>
              <w:right w:w="90" w:type="dxa"/>
            </w:tcMar>
          </w:tcPr>
          <w:p w14:paraId="71468A03">
            <w:pPr>
              <w:rPr>
                <w:rFonts w:asciiTheme="majorBidi" w:hAnsiTheme="majorBidi" w:cstheme="majorBidi"/>
                <w:sz w:val="32"/>
                <w:szCs w:val="32"/>
              </w:rPr>
            </w:pPr>
            <w:r>
              <w:rPr>
                <w:rFonts w:asciiTheme="majorBidi" w:hAnsiTheme="majorBidi" w:cstheme="majorBidi"/>
                <w:sz w:val="22"/>
                <w:szCs w:val="22"/>
              </w:rPr>
              <w:t>Yes - DataBreaches.Net reproduced the message text</w:t>
            </w:r>
          </w:p>
        </w:tc>
        <w:tc>
          <w:tcPr>
            <w:tcW w:w="1900" w:type="dxa"/>
            <w:tcMar>
              <w:top w:w="90" w:type="dxa"/>
              <w:left w:w="90" w:type="dxa"/>
              <w:bottom w:w="90" w:type="dxa"/>
              <w:right w:w="90" w:type="dxa"/>
            </w:tcMar>
          </w:tcPr>
          <w:p w14:paraId="381C5C1D">
            <w:pPr>
              <w:rPr>
                <w:rFonts w:asciiTheme="majorBidi" w:hAnsiTheme="majorBidi" w:cstheme="majorBidi"/>
                <w:sz w:val="32"/>
                <w:szCs w:val="32"/>
              </w:rPr>
            </w:pPr>
            <w:r>
              <w:rPr>
                <w:rFonts w:asciiTheme="majorBidi" w:hAnsiTheme="majorBidi" w:cstheme="majorBidi"/>
                <w:sz w:val="22"/>
                <w:szCs w:val="22"/>
              </w:rPr>
              <w:t>Yes, via DataBreaches.Net's direct quotation</w:t>
            </w:r>
          </w:p>
        </w:tc>
        <w:tc>
          <w:tcPr>
            <w:tcW w:w="1900" w:type="dxa"/>
            <w:tcMar>
              <w:top w:w="90" w:type="dxa"/>
              <w:left w:w="90" w:type="dxa"/>
              <w:bottom w:w="90" w:type="dxa"/>
              <w:right w:w="90" w:type="dxa"/>
            </w:tcMar>
          </w:tcPr>
          <w:p w14:paraId="484D837A">
            <w:pPr>
              <w:rPr>
                <w:rFonts w:asciiTheme="majorBidi" w:hAnsiTheme="majorBidi" w:cstheme="majorBidi"/>
                <w:sz w:val="32"/>
                <w:szCs w:val="32"/>
              </w:rPr>
            </w:pPr>
            <w:r>
              <w:rPr>
                <w:rFonts w:asciiTheme="majorBidi" w:hAnsiTheme="majorBidi" w:cstheme="majorBidi"/>
                <w:sz w:val="22"/>
                <w:szCs w:val="22"/>
              </w:rPr>
              <w:t>Moderate: wording confidence rests on one secondary outlet's quotation, not an independently verified WFP-hosted copy</w:t>
            </w:r>
          </w:p>
        </w:tc>
      </w:tr>
      <w:tr w14:paraId="04074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00" w:type="dxa"/>
            <w:tcMar>
              <w:top w:w="90" w:type="dxa"/>
              <w:left w:w="90" w:type="dxa"/>
              <w:bottom w:w="90" w:type="dxa"/>
              <w:right w:w="90" w:type="dxa"/>
            </w:tcMar>
          </w:tcPr>
          <w:p w14:paraId="43E7FC41">
            <w:pPr>
              <w:rPr>
                <w:rFonts w:asciiTheme="majorBidi" w:hAnsiTheme="majorBidi" w:cstheme="majorBidi"/>
                <w:sz w:val="32"/>
                <w:szCs w:val="32"/>
              </w:rPr>
            </w:pPr>
            <w:r>
              <w:rPr>
                <w:rFonts w:asciiTheme="majorBidi" w:hAnsiTheme="majorBidi" w:cstheme="majorBidi"/>
                <w:sz w:val="22"/>
                <w:szCs w:val="22"/>
              </w:rPr>
              <w:t>WFP-02 (2 Jun 2026 statement to press)</w:t>
            </w:r>
          </w:p>
        </w:tc>
        <w:tc>
          <w:tcPr>
            <w:tcW w:w="1900" w:type="dxa"/>
            <w:tcMar>
              <w:top w:w="90" w:type="dxa"/>
              <w:left w:w="90" w:type="dxa"/>
              <w:bottom w:w="90" w:type="dxa"/>
              <w:right w:w="90" w:type="dxa"/>
            </w:tcMar>
          </w:tcPr>
          <w:p w14:paraId="08D60BBE">
            <w:pPr>
              <w:rPr>
                <w:rFonts w:asciiTheme="majorBidi" w:hAnsiTheme="majorBidi" w:cstheme="majorBidi"/>
                <w:sz w:val="32"/>
                <w:szCs w:val="32"/>
              </w:rPr>
            </w:pPr>
            <w:r>
              <w:rPr>
                <w:rFonts w:asciiTheme="majorBidi" w:hAnsiTheme="majorBidi" w:cstheme="majorBidi"/>
                <w:sz w:val="22"/>
                <w:szCs w:val="22"/>
              </w:rPr>
              <w:t>No - issued as a statement to a journalist, not published on a standalone WFP web page</w:t>
            </w:r>
          </w:p>
        </w:tc>
        <w:tc>
          <w:tcPr>
            <w:tcW w:w="1900" w:type="dxa"/>
            <w:tcMar>
              <w:top w:w="90" w:type="dxa"/>
              <w:left w:w="90" w:type="dxa"/>
              <w:bottom w:w="90" w:type="dxa"/>
              <w:right w:w="90" w:type="dxa"/>
            </w:tcMar>
          </w:tcPr>
          <w:p w14:paraId="4064AD47">
            <w:pPr>
              <w:rPr>
                <w:rFonts w:asciiTheme="majorBidi" w:hAnsiTheme="majorBidi" w:cstheme="majorBidi"/>
                <w:sz w:val="32"/>
                <w:szCs w:val="32"/>
              </w:rPr>
            </w:pPr>
            <w:r>
              <w:rPr>
                <w:rFonts w:asciiTheme="majorBidi" w:hAnsiTheme="majorBidi" w:cstheme="majorBidi"/>
                <w:sz w:val="22"/>
                <w:szCs w:val="22"/>
              </w:rPr>
              <w:t>Yes - The New Humanitarian reproduced WFP's statement</w:t>
            </w:r>
          </w:p>
        </w:tc>
        <w:tc>
          <w:tcPr>
            <w:tcW w:w="1900" w:type="dxa"/>
            <w:tcMar>
              <w:top w:w="90" w:type="dxa"/>
              <w:left w:w="90" w:type="dxa"/>
              <w:bottom w:w="90" w:type="dxa"/>
              <w:right w:w="90" w:type="dxa"/>
            </w:tcMar>
          </w:tcPr>
          <w:p w14:paraId="6FDA4214">
            <w:pPr>
              <w:rPr>
                <w:rFonts w:asciiTheme="majorBidi" w:hAnsiTheme="majorBidi" w:cstheme="majorBidi"/>
                <w:sz w:val="32"/>
                <w:szCs w:val="32"/>
              </w:rPr>
            </w:pPr>
            <w:r>
              <w:rPr>
                <w:rFonts w:asciiTheme="majorBidi" w:hAnsiTheme="majorBidi" w:cstheme="majorBidi"/>
                <w:sz w:val="22"/>
                <w:szCs w:val="22"/>
              </w:rPr>
              <w:t>Yes, via The New Humanitarian's direct quotation</w:t>
            </w:r>
          </w:p>
        </w:tc>
        <w:tc>
          <w:tcPr>
            <w:tcW w:w="1900" w:type="dxa"/>
            <w:tcMar>
              <w:top w:w="90" w:type="dxa"/>
              <w:left w:w="90" w:type="dxa"/>
              <w:bottom w:w="90" w:type="dxa"/>
              <w:right w:w="90" w:type="dxa"/>
            </w:tcMar>
          </w:tcPr>
          <w:p w14:paraId="06380876">
            <w:pPr>
              <w:rPr>
                <w:rFonts w:asciiTheme="majorBidi" w:hAnsiTheme="majorBidi" w:cstheme="majorBidi"/>
                <w:sz w:val="32"/>
                <w:szCs w:val="32"/>
              </w:rPr>
            </w:pPr>
            <w:r>
              <w:rPr>
                <w:rFonts w:asciiTheme="majorBidi" w:hAnsiTheme="majorBidi" w:cstheme="majorBidi"/>
                <w:sz w:val="22"/>
                <w:szCs w:val="22"/>
              </w:rPr>
              <w:t>Moderate-High: statement was solicited and quoted directly by a named outlet, reducing paraphrase risk</w:t>
            </w:r>
          </w:p>
        </w:tc>
      </w:tr>
      <w:tr w14:paraId="67133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00" w:type="dxa"/>
            <w:tcMar>
              <w:top w:w="90" w:type="dxa"/>
              <w:left w:w="90" w:type="dxa"/>
              <w:bottom w:w="90" w:type="dxa"/>
              <w:right w:w="90" w:type="dxa"/>
            </w:tcMar>
          </w:tcPr>
          <w:p w14:paraId="7D05EA82">
            <w:pPr>
              <w:rPr>
                <w:rFonts w:asciiTheme="majorBidi" w:hAnsiTheme="majorBidi" w:cstheme="majorBidi"/>
                <w:sz w:val="32"/>
                <w:szCs w:val="32"/>
              </w:rPr>
            </w:pPr>
            <w:r>
              <w:rPr>
                <w:rFonts w:asciiTheme="majorBidi" w:hAnsiTheme="majorBidi" w:cstheme="majorBidi"/>
                <w:sz w:val="22"/>
                <w:szCs w:val="22"/>
              </w:rPr>
              <w:t>WFP-03 (2 Jun 2026 follow-up Telegram)</w:t>
            </w:r>
          </w:p>
        </w:tc>
        <w:tc>
          <w:tcPr>
            <w:tcW w:w="1900" w:type="dxa"/>
            <w:tcMar>
              <w:top w:w="90" w:type="dxa"/>
              <w:left w:w="90" w:type="dxa"/>
              <w:bottom w:w="90" w:type="dxa"/>
              <w:right w:w="90" w:type="dxa"/>
            </w:tcMar>
          </w:tcPr>
          <w:p w14:paraId="6912D6CE">
            <w:pPr>
              <w:rPr>
                <w:rFonts w:asciiTheme="majorBidi" w:hAnsiTheme="majorBidi" w:cstheme="majorBidi"/>
                <w:sz w:val="32"/>
                <w:szCs w:val="32"/>
              </w:rPr>
            </w:pPr>
            <w:r>
              <w:rPr>
                <w:rFonts w:asciiTheme="majorBidi" w:hAnsiTheme="majorBidi" w:cstheme="majorBidi"/>
                <w:sz w:val="22"/>
                <w:szCs w:val="22"/>
              </w:rPr>
              <w:t>No - Telegram, no stable public archive page</w:t>
            </w:r>
          </w:p>
        </w:tc>
        <w:tc>
          <w:tcPr>
            <w:tcW w:w="1900" w:type="dxa"/>
            <w:tcMar>
              <w:top w:w="90" w:type="dxa"/>
              <w:left w:w="90" w:type="dxa"/>
              <w:bottom w:w="90" w:type="dxa"/>
              <w:right w:w="90" w:type="dxa"/>
            </w:tcMar>
          </w:tcPr>
          <w:p w14:paraId="1CBDD0A8">
            <w:pPr>
              <w:rPr>
                <w:rFonts w:asciiTheme="majorBidi" w:hAnsiTheme="majorBidi" w:cstheme="majorBidi"/>
                <w:sz w:val="32"/>
                <w:szCs w:val="32"/>
              </w:rPr>
            </w:pPr>
            <w:r>
              <w:rPr>
                <w:rFonts w:asciiTheme="majorBidi" w:hAnsiTheme="majorBidi" w:cstheme="majorBidi"/>
                <w:sz w:val="22"/>
                <w:szCs w:val="22"/>
              </w:rPr>
              <w:t>Yes - Access Now reproduced the message content</w:t>
            </w:r>
          </w:p>
        </w:tc>
        <w:tc>
          <w:tcPr>
            <w:tcW w:w="1900" w:type="dxa"/>
            <w:tcMar>
              <w:top w:w="90" w:type="dxa"/>
              <w:left w:w="90" w:type="dxa"/>
              <w:bottom w:w="90" w:type="dxa"/>
              <w:right w:w="90" w:type="dxa"/>
            </w:tcMar>
          </w:tcPr>
          <w:p w14:paraId="701B73A4">
            <w:pPr>
              <w:rPr>
                <w:rFonts w:asciiTheme="majorBidi" w:hAnsiTheme="majorBidi" w:cstheme="majorBidi"/>
                <w:sz w:val="32"/>
                <w:szCs w:val="32"/>
              </w:rPr>
            </w:pPr>
            <w:r>
              <w:rPr>
                <w:rFonts w:asciiTheme="majorBidi" w:hAnsiTheme="majorBidi" w:cstheme="majorBidi"/>
                <w:sz w:val="22"/>
                <w:szCs w:val="22"/>
              </w:rPr>
              <w:t>Yes, via Access Now's direct quotation</w:t>
            </w:r>
          </w:p>
        </w:tc>
        <w:tc>
          <w:tcPr>
            <w:tcW w:w="1900" w:type="dxa"/>
            <w:tcMar>
              <w:top w:w="90" w:type="dxa"/>
              <w:left w:w="90" w:type="dxa"/>
              <w:bottom w:w="90" w:type="dxa"/>
              <w:right w:w="90" w:type="dxa"/>
            </w:tcMar>
          </w:tcPr>
          <w:p w14:paraId="110C9C0F">
            <w:pPr>
              <w:rPr>
                <w:rFonts w:asciiTheme="majorBidi" w:hAnsiTheme="majorBidi" w:cstheme="majorBidi"/>
                <w:sz w:val="32"/>
                <w:szCs w:val="32"/>
              </w:rPr>
            </w:pPr>
            <w:r>
              <w:rPr>
                <w:rFonts w:asciiTheme="majorBidi" w:hAnsiTheme="majorBidi" w:cstheme="majorBidi"/>
                <w:sz w:val="22"/>
                <w:szCs w:val="22"/>
              </w:rPr>
              <w:t>Moderate: single secondary source</w:t>
            </w:r>
          </w:p>
        </w:tc>
      </w:tr>
      <w:tr w14:paraId="67368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00" w:type="dxa"/>
            <w:tcMar>
              <w:top w:w="90" w:type="dxa"/>
              <w:left w:w="90" w:type="dxa"/>
              <w:bottom w:w="90" w:type="dxa"/>
              <w:right w:w="90" w:type="dxa"/>
            </w:tcMar>
          </w:tcPr>
          <w:p w14:paraId="7267DB47">
            <w:pPr>
              <w:rPr>
                <w:rFonts w:asciiTheme="majorBidi" w:hAnsiTheme="majorBidi" w:cstheme="majorBidi"/>
                <w:sz w:val="32"/>
                <w:szCs w:val="32"/>
              </w:rPr>
            </w:pPr>
            <w:r>
              <w:rPr>
                <w:rFonts w:asciiTheme="majorBidi" w:hAnsiTheme="majorBidi" w:cstheme="majorBidi"/>
                <w:sz w:val="22"/>
                <w:szCs w:val="22"/>
              </w:rPr>
              <w:t>WFP-04 (9 Jun 2026 Situation Report #90)</w:t>
            </w:r>
          </w:p>
        </w:tc>
        <w:tc>
          <w:tcPr>
            <w:tcW w:w="1900" w:type="dxa"/>
            <w:tcMar>
              <w:top w:w="90" w:type="dxa"/>
              <w:left w:w="90" w:type="dxa"/>
              <w:bottom w:w="90" w:type="dxa"/>
              <w:right w:w="90" w:type="dxa"/>
            </w:tcMar>
          </w:tcPr>
          <w:p w14:paraId="72C43C7D">
            <w:pPr>
              <w:rPr>
                <w:rFonts w:asciiTheme="majorBidi" w:hAnsiTheme="majorBidi" w:cstheme="majorBidi"/>
                <w:sz w:val="32"/>
                <w:szCs w:val="32"/>
              </w:rPr>
            </w:pPr>
            <w:r>
              <w:rPr>
                <w:rFonts w:asciiTheme="majorBidi" w:hAnsiTheme="majorBidi" w:cstheme="majorBidi"/>
                <w:sz w:val="22"/>
                <w:szCs w:val="22"/>
              </w:rPr>
              <w:t>Yes - hosted on ReliefWeb, a stable public inter-agency archive</w:t>
            </w:r>
          </w:p>
        </w:tc>
        <w:tc>
          <w:tcPr>
            <w:tcW w:w="1900" w:type="dxa"/>
            <w:tcMar>
              <w:top w:w="90" w:type="dxa"/>
              <w:left w:w="90" w:type="dxa"/>
              <w:bottom w:w="90" w:type="dxa"/>
              <w:right w:w="90" w:type="dxa"/>
            </w:tcMar>
          </w:tcPr>
          <w:p w14:paraId="3C0FAD42">
            <w:pPr>
              <w:rPr>
                <w:rFonts w:asciiTheme="majorBidi" w:hAnsiTheme="majorBidi" w:cstheme="majorBidi"/>
                <w:sz w:val="32"/>
                <w:szCs w:val="32"/>
              </w:rPr>
            </w:pPr>
            <w:r>
              <w:rPr>
                <w:rFonts w:asciiTheme="majorBidi" w:hAnsiTheme="majorBidi" w:cstheme="majorBidi"/>
                <w:sz w:val="22"/>
                <w:szCs w:val="22"/>
              </w:rPr>
              <w:t>N/A - primary document accessible via a stable third-party archive</w:t>
            </w:r>
          </w:p>
        </w:tc>
        <w:tc>
          <w:tcPr>
            <w:tcW w:w="1900" w:type="dxa"/>
            <w:tcMar>
              <w:top w:w="90" w:type="dxa"/>
              <w:left w:w="90" w:type="dxa"/>
              <w:bottom w:w="90" w:type="dxa"/>
              <w:right w:w="90" w:type="dxa"/>
            </w:tcMar>
          </w:tcPr>
          <w:p w14:paraId="382E4CB1">
            <w:pPr>
              <w:rPr>
                <w:rFonts w:asciiTheme="majorBidi" w:hAnsiTheme="majorBidi" w:cstheme="majorBidi"/>
                <w:sz w:val="32"/>
                <w:szCs w:val="32"/>
              </w:rPr>
            </w:pPr>
            <w:r>
              <w:rPr>
                <w:rFonts w:asciiTheme="majorBidi" w:hAnsiTheme="majorBidi" w:cstheme="majorBidi"/>
                <w:sz w:val="22"/>
                <w:szCs w:val="22"/>
              </w:rPr>
              <w:t>Partial - summarized from listing/report content rather than full verbatim retrieval of every line</w:t>
            </w:r>
          </w:p>
        </w:tc>
        <w:tc>
          <w:tcPr>
            <w:tcW w:w="1900" w:type="dxa"/>
            <w:tcMar>
              <w:top w:w="90" w:type="dxa"/>
              <w:left w:w="90" w:type="dxa"/>
              <w:bottom w:w="90" w:type="dxa"/>
              <w:right w:w="90" w:type="dxa"/>
            </w:tcMar>
          </w:tcPr>
          <w:p w14:paraId="5217675F">
            <w:pPr>
              <w:rPr>
                <w:rFonts w:asciiTheme="majorBidi" w:hAnsiTheme="majorBidi" w:cstheme="majorBidi"/>
                <w:sz w:val="32"/>
                <w:szCs w:val="32"/>
              </w:rPr>
            </w:pPr>
            <w:r>
              <w:rPr>
                <w:rFonts w:asciiTheme="majorBidi" w:hAnsiTheme="majorBidi" w:cstheme="majorBidi"/>
                <w:sz w:val="22"/>
                <w:szCs w:val="22"/>
              </w:rPr>
              <w:t>Moderate-High: document itself is stably archived, but this study's excerpt is not a full verbatim pass</w:t>
            </w:r>
          </w:p>
        </w:tc>
      </w:tr>
      <w:tr w14:paraId="3ECC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00" w:type="dxa"/>
            <w:tcMar>
              <w:top w:w="90" w:type="dxa"/>
              <w:left w:w="90" w:type="dxa"/>
              <w:bottom w:w="90" w:type="dxa"/>
              <w:right w:w="90" w:type="dxa"/>
            </w:tcMar>
          </w:tcPr>
          <w:p w14:paraId="56EB235F">
            <w:pPr>
              <w:rPr>
                <w:rFonts w:asciiTheme="majorBidi" w:hAnsiTheme="majorBidi" w:cstheme="majorBidi"/>
                <w:sz w:val="32"/>
                <w:szCs w:val="32"/>
              </w:rPr>
            </w:pPr>
            <w:r>
              <w:rPr>
                <w:rFonts w:asciiTheme="majorBidi" w:hAnsiTheme="majorBidi" w:cstheme="majorBidi"/>
                <w:sz w:val="22"/>
                <w:szCs w:val="22"/>
              </w:rPr>
              <w:t>WFP-05 (25-29 Jul 2026 restart update)</w:t>
            </w:r>
          </w:p>
        </w:tc>
        <w:tc>
          <w:tcPr>
            <w:tcW w:w="1900" w:type="dxa"/>
            <w:tcMar>
              <w:top w:w="90" w:type="dxa"/>
              <w:left w:w="90" w:type="dxa"/>
              <w:bottom w:w="90" w:type="dxa"/>
              <w:right w:w="90" w:type="dxa"/>
            </w:tcMar>
          </w:tcPr>
          <w:p w14:paraId="59849740">
            <w:pPr>
              <w:rPr>
                <w:rFonts w:asciiTheme="majorBidi" w:hAnsiTheme="majorBidi" w:cstheme="majorBidi"/>
                <w:sz w:val="32"/>
                <w:szCs w:val="32"/>
              </w:rPr>
            </w:pPr>
            <w:r>
              <w:rPr>
                <w:rFonts w:asciiTheme="majorBidi" w:hAnsiTheme="majorBidi" w:cstheme="majorBidi"/>
                <w:sz w:val="22"/>
                <w:szCs w:val="22"/>
              </w:rPr>
              <w:t>Partial - referenced a PDF hosted at a WFP document-repository URL (docs.wfp.org), described via The New Humanitarian's reporting rather than independently fetched by this study</w:t>
            </w:r>
          </w:p>
        </w:tc>
        <w:tc>
          <w:tcPr>
            <w:tcW w:w="1900" w:type="dxa"/>
            <w:tcMar>
              <w:top w:w="90" w:type="dxa"/>
              <w:left w:w="90" w:type="dxa"/>
              <w:bottom w:w="90" w:type="dxa"/>
              <w:right w:w="90" w:type="dxa"/>
            </w:tcMar>
          </w:tcPr>
          <w:p w14:paraId="5D4BA570">
            <w:pPr>
              <w:rPr>
                <w:rFonts w:asciiTheme="majorBidi" w:hAnsiTheme="majorBidi" w:cstheme="majorBidi"/>
                <w:sz w:val="32"/>
                <w:szCs w:val="32"/>
              </w:rPr>
            </w:pPr>
            <w:r>
              <w:rPr>
                <w:rFonts w:asciiTheme="majorBidi" w:hAnsiTheme="majorBidi" w:cstheme="majorBidi"/>
                <w:sz w:val="22"/>
                <w:szCs w:val="22"/>
              </w:rPr>
              <w:t>Yes - The New Humanitarian quoted the update directly and described the internal staff-guidance document</w:t>
            </w:r>
          </w:p>
        </w:tc>
        <w:tc>
          <w:tcPr>
            <w:tcW w:w="1900" w:type="dxa"/>
            <w:tcMar>
              <w:top w:w="90" w:type="dxa"/>
              <w:left w:w="90" w:type="dxa"/>
              <w:bottom w:w="90" w:type="dxa"/>
              <w:right w:w="90" w:type="dxa"/>
            </w:tcMar>
          </w:tcPr>
          <w:p w14:paraId="6367856D">
            <w:pPr>
              <w:rPr>
                <w:rFonts w:asciiTheme="majorBidi" w:hAnsiTheme="majorBidi" w:cstheme="majorBidi"/>
                <w:sz w:val="32"/>
                <w:szCs w:val="32"/>
              </w:rPr>
            </w:pPr>
            <w:r>
              <w:rPr>
                <w:rFonts w:asciiTheme="majorBidi" w:hAnsiTheme="majorBidi" w:cstheme="majorBidi"/>
                <w:sz w:val="22"/>
                <w:szCs w:val="22"/>
              </w:rPr>
              <w:t>Yes for the quoted portions reproduced by The New Humanitarian; the underlying WFP PDF and the internal staff directive were not independently fetched by this study</w:t>
            </w:r>
          </w:p>
        </w:tc>
        <w:tc>
          <w:tcPr>
            <w:tcW w:w="1900" w:type="dxa"/>
            <w:tcMar>
              <w:top w:w="90" w:type="dxa"/>
              <w:left w:w="90" w:type="dxa"/>
              <w:bottom w:w="90" w:type="dxa"/>
              <w:right w:w="90" w:type="dxa"/>
            </w:tcMar>
          </w:tcPr>
          <w:p w14:paraId="29103466">
            <w:pPr>
              <w:rPr>
                <w:rFonts w:asciiTheme="majorBidi" w:hAnsiTheme="majorBidi" w:cstheme="majorBidi"/>
                <w:sz w:val="32"/>
                <w:szCs w:val="32"/>
              </w:rPr>
            </w:pPr>
            <w:r>
              <w:rPr>
                <w:rFonts w:asciiTheme="majorBidi" w:hAnsiTheme="majorBidi" w:cstheme="majorBidi"/>
                <w:sz w:val="22"/>
                <w:szCs w:val="22"/>
              </w:rPr>
              <w:t>Moderate: strongest WFP entry for direct quotation, but the internal directive specifically remains secondary-only evidence (see Section 12.4)</w:t>
            </w:r>
          </w:p>
        </w:tc>
      </w:tr>
    </w:tbl>
    <w:p w14:paraId="373BFD71">
      <w:pPr>
        <w:spacing w:before="60" w:after="180"/>
      </w:pPr>
      <w:r>
        <w:rPr>
          <w:i/>
          <w:sz w:val="18"/>
        </w:rPr>
        <w:t>Source: Author's own source audit, cross-checking each WFP document against its retrieval method and evidentiary status (Section 12.3).</w:t>
      </w:r>
    </w:p>
    <w:p w14:paraId="7FE29F0B">
      <w:pPr>
        <w:spacing w:after="200" w:line="360" w:lineRule="auto"/>
        <w:jc w:val="both"/>
        <w:rPr>
          <w:rFonts w:asciiTheme="majorBidi" w:hAnsiTheme="majorBidi" w:cstheme="majorBidi"/>
          <w:sz w:val="32"/>
          <w:szCs w:val="32"/>
        </w:rPr>
      </w:pPr>
      <w:r>
        <w:rPr>
          <w:rFonts w:asciiTheme="majorBidi" w:hAnsiTheme="majorBidi" w:cstheme="majorBidi"/>
          <w:sz w:val="32"/>
          <w:szCs w:val="32"/>
        </w:rPr>
        <w:t xml:space="preserve"> </w:t>
      </w:r>
    </w:p>
    <w:p w14:paraId="23ABE199">
      <w:pPr>
        <w:spacing w:after="200" w:line="360" w:lineRule="auto"/>
        <w:jc w:val="both"/>
        <w:rPr>
          <w:rFonts w:asciiTheme="majorBidi" w:hAnsiTheme="majorBidi" w:cstheme="majorBidi"/>
          <w:sz w:val="32"/>
          <w:szCs w:val="32"/>
        </w:rPr>
      </w:pPr>
      <w:r>
        <w:rPr>
          <w:rFonts w:asciiTheme="majorBidi" w:hAnsiTheme="majorBidi" w:cstheme="majorBidi"/>
          <w:sz w:val="32"/>
          <w:szCs w:val="32"/>
        </w:rPr>
        <w:t>The ICRC corpus currently comprises five Level A documents spanning January-June 2022; the WFP corpus currently comprises five Level A/Level A-adjacent documents spanning 31 May-29 July 2026, none directly hosted on a stable WFP-controlled public archive comparable to icrc.org. This asymmetry in corpus size, time span, and source stability is treated as a documented feature of the comparison, not concealed, and is addressed directly in Section 16 (Limitations).</w:t>
      </w:r>
    </w:p>
    <w:p w14:paraId="4ED9E1C2">
      <w:pPr>
        <w:pStyle w:val="3"/>
        <w:spacing w:before="260" w:after="140"/>
        <w:rPr>
          <w:rFonts w:asciiTheme="majorBidi" w:hAnsiTheme="majorBidi" w:cstheme="majorBidi"/>
          <w:sz w:val="32"/>
          <w:szCs w:val="32"/>
        </w:rPr>
      </w:pPr>
      <w:r>
        <w:rPr>
          <w:rFonts w:asciiTheme="majorBidi" w:hAnsiTheme="majorBidi" w:cstheme="majorBidi"/>
          <w:b/>
          <w:bCs/>
          <w:sz w:val="32"/>
          <w:szCs w:val="32"/>
        </w:rPr>
        <w:t>12.4 A Note on Internal Communication Guidance (WFP)</w:t>
      </w:r>
    </w:p>
    <w:p w14:paraId="65F142F5">
      <w:pPr>
        <w:spacing w:after="200" w:line="360" w:lineRule="auto"/>
        <w:jc w:val="both"/>
        <w:rPr>
          <w:rFonts w:asciiTheme="majorBidi" w:hAnsiTheme="majorBidi" w:cstheme="majorBidi"/>
          <w:sz w:val="32"/>
          <w:szCs w:val="32"/>
        </w:rPr>
      </w:pPr>
      <w:r>
        <w:rPr>
          <w:rFonts w:asciiTheme="majorBidi" w:hAnsiTheme="majorBidi" w:cstheme="majorBidi"/>
          <w:sz w:val="32"/>
          <w:szCs w:val="32"/>
        </w:rPr>
        <w:t>Independent reporting on 29 July 2026 disclosed the content of an internal WFP frontline-staff guidance document, prepared in connection with the self-registration app's relaunch, instructing staff: do not provide technical explanations about previous security incidents unless directed by approved WFP messaging, and to focus instead on improvements and current access (The New Humanitarian, 2026, 29 July). This is not a public communication and is therefore coded separately from the Level A corpus above, but it is treated as directly relevant evidence of organizational communication strategy, since it documents an explicit internal instruction to limit disclosure. Unlike the ICRC corpus, in which limited disclosure is accompanied by an explicit, stated protection rationale (Section 12.2), no equivalent public rationale for limiting disclosure has been identified in the WFP corpus; external stakeholders, including the digital rights organization Access Now, have explicitly characterized this absence of explanation as unjustified rather than protective (The New Humanitarian, 2026, 29 July).</w:t>
      </w:r>
    </w:p>
    <w:p w14:paraId="249C5E20">
      <w:pPr>
        <w:pStyle w:val="2"/>
        <w:spacing w:before="360" w:after="160"/>
        <w:rPr>
          <w:rFonts w:asciiTheme="majorBidi" w:hAnsiTheme="majorBidi" w:cstheme="majorBidi"/>
          <w:sz w:val="40"/>
          <w:szCs w:val="40"/>
        </w:rPr>
      </w:pPr>
      <w:r>
        <w:rPr>
          <w:rFonts w:asciiTheme="majorBidi" w:hAnsiTheme="majorBidi" w:cstheme="majorBidi"/>
          <w:b/>
          <w:bCs/>
          <w:sz w:val="36"/>
          <w:szCs w:val="36"/>
        </w:rPr>
        <w:t>12.5 Master Corpus Table</w:t>
      </w:r>
    </w:p>
    <w:p w14:paraId="09E17AA9">
      <w:pPr>
        <w:spacing w:before="120" w:after="120"/>
        <w:jc w:val="both"/>
      </w:pPr>
      <w:r>
        <w:rPr>
          <w:sz w:val="22"/>
        </w:rPr>
        <w:t>The full master corpus table, listing every document considered for inclusion (ID, organization, date, platform, type, and inclusion rationale), is provided as Supplementary Table S1.</w:t>
      </w:r>
    </w:p>
    <w:p w14:paraId="0A9EE9A4">
      <w:pPr>
        <w:pStyle w:val="2"/>
        <w:spacing w:before="360" w:after="160"/>
        <w:rPr>
          <w:rFonts w:asciiTheme="majorBidi" w:hAnsiTheme="majorBidi" w:cstheme="majorBidi"/>
          <w:sz w:val="40"/>
          <w:szCs w:val="40"/>
        </w:rPr>
      </w:pPr>
      <w:r>
        <w:rPr>
          <w:rFonts w:asciiTheme="majorBidi" w:hAnsiTheme="majorBidi" w:cstheme="majorBidi"/>
          <w:b/>
          <w:bCs/>
          <w:sz w:val="36"/>
          <w:szCs w:val="36"/>
        </w:rPr>
        <w:t>12.6 Codebook</w:t>
      </w:r>
    </w:p>
    <w:p w14:paraId="7E1C7E07">
      <w:pPr>
        <w:spacing w:before="120" w:after="120"/>
        <w:jc w:val="both"/>
      </w:pPr>
      <w:r>
        <w:rPr>
          <w:sz w:val="22"/>
        </w:rPr>
        <w:t>The full codebook, giving the operational definition, inclusion rule, and exclusion rule for each of the twelve codes, is provided as Supplementary Table S2 (a condensed version of the operational definitions appears above in Table 4).</w:t>
      </w:r>
    </w:p>
    <w:p w14:paraId="46B71F4C">
      <w:pPr>
        <w:pStyle w:val="2"/>
        <w:spacing w:before="360" w:after="160"/>
        <w:rPr>
          <w:rFonts w:asciiTheme="majorBidi" w:hAnsiTheme="majorBidi" w:cstheme="majorBidi"/>
          <w:sz w:val="40"/>
          <w:szCs w:val="40"/>
        </w:rPr>
      </w:pPr>
      <w:r>
        <w:rPr>
          <w:rFonts w:asciiTheme="majorBidi" w:hAnsiTheme="majorBidi" w:cstheme="majorBidi"/>
          <w:b/>
          <w:bCs/>
          <w:sz w:val="36"/>
          <w:szCs w:val="36"/>
        </w:rPr>
        <w:t>12.7 Master Coding Matrix</w:t>
      </w:r>
    </w:p>
    <w:p w14:paraId="42F7913D">
      <w:pPr>
        <w:spacing w:before="120" w:after="120"/>
        <w:jc w:val="both"/>
      </w:pPr>
      <w:r>
        <w:rPr>
          <w:sz w:val="22"/>
        </w:rPr>
        <w:t>Each document was coded 1 (clearly present), 0 (clearly absent), or NR (not reliably determinable from the primary text currently retrieved); ambiguous evidence was not forced into 0 or 1. The full document-by-document coding matrices for ICRC and WFP are provided as Supplementary Tables S3 and S4.</w:t>
      </w:r>
    </w:p>
    <w:p w14:paraId="2D9F5C39">
      <w:pPr>
        <w:pStyle w:val="2"/>
        <w:spacing w:before="360" w:after="160"/>
        <w:rPr>
          <w:rFonts w:asciiTheme="majorBidi" w:hAnsiTheme="majorBidi" w:cstheme="majorBidi"/>
          <w:sz w:val="40"/>
          <w:szCs w:val="40"/>
        </w:rPr>
      </w:pPr>
      <w:r>
        <w:rPr>
          <w:rFonts w:asciiTheme="majorBidi" w:hAnsiTheme="majorBidi" w:cstheme="majorBidi"/>
          <w:b/>
          <w:bCs/>
          <w:sz w:val="36"/>
          <w:szCs w:val="36"/>
        </w:rPr>
        <w:t>12.8 Frequencies</w:t>
      </w:r>
    </w:p>
    <w:p w14:paraId="7D7F482F">
      <w:pPr>
        <w:spacing w:after="200" w:line="360" w:lineRule="auto"/>
        <w:jc w:val="both"/>
        <w:rPr>
          <w:rFonts w:asciiTheme="majorBidi" w:hAnsiTheme="majorBidi" w:cstheme="majorBidi"/>
          <w:sz w:val="32"/>
          <w:szCs w:val="32"/>
        </w:rPr>
      </w:pPr>
      <w:r>
        <w:rPr>
          <w:rFonts w:asciiTheme="majorBidi" w:hAnsiTheme="majorBidi" w:cstheme="majorBidi"/>
          <w:sz w:val="32"/>
          <w:szCs w:val="32"/>
        </w:rPr>
        <w:t>Percentages below are calculated only across documents for which a given code was determinable (denominator shown), following Step 5: percentage = (documents coded 1 / total determinable documents) x 100. Given denominators of 2-5 documents per case, these frequencies are descriptive of the current corpus only and are not statistically generalizable; they are reported to make the analysis auditable, not to imply population-level inference.</w:t>
      </w:r>
    </w:p>
    <w:p w14:paraId="7D6737F8">
      <w:pPr>
        <w:spacing w:before="180" w:after="60"/>
      </w:pPr>
      <w:r>
        <w:rPr>
          <w:b/>
          <w:sz w:val="20"/>
        </w:rPr>
        <w:t>Table 10. Coding Frequencies by Organization</w:t>
      </w:r>
    </w:p>
    <w:tbl>
      <w:tblPr>
        <w:tblStyle w:val="9"/>
        <w:tblW w:w="9000" w:type="dxa"/>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400"/>
        <w:gridCol w:w="3300"/>
        <w:gridCol w:w="3300"/>
      </w:tblGrid>
      <w:tr w14:paraId="6E994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shd w:val="clear" w:color="auto" w:fill="D9E2F3"/>
            <w:tcMar>
              <w:top w:w="90" w:type="dxa"/>
              <w:left w:w="90" w:type="dxa"/>
              <w:bottom w:w="90" w:type="dxa"/>
              <w:right w:w="90" w:type="dxa"/>
            </w:tcMar>
          </w:tcPr>
          <w:p w14:paraId="596C4FFD">
            <w:pPr>
              <w:rPr>
                <w:rFonts w:asciiTheme="majorBidi" w:hAnsiTheme="majorBidi" w:cstheme="majorBidi"/>
                <w:sz w:val="32"/>
                <w:szCs w:val="32"/>
              </w:rPr>
            </w:pPr>
            <w:r>
              <w:rPr>
                <w:rFonts w:asciiTheme="majorBidi" w:hAnsiTheme="majorBidi" w:cstheme="majorBidi"/>
                <w:b/>
                <w:bCs/>
                <w:sz w:val="22"/>
                <w:szCs w:val="22"/>
              </w:rPr>
              <w:t>Code</w:t>
            </w:r>
          </w:p>
        </w:tc>
        <w:tc>
          <w:tcPr>
            <w:tcW w:w="3300" w:type="dxa"/>
            <w:shd w:val="clear" w:color="auto" w:fill="D9E2F3"/>
            <w:tcMar>
              <w:top w:w="90" w:type="dxa"/>
              <w:left w:w="90" w:type="dxa"/>
              <w:bottom w:w="90" w:type="dxa"/>
              <w:right w:w="90" w:type="dxa"/>
            </w:tcMar>
          </w:tcPr>
          <w:p w14:paraId="157B2E52">
            <w:pPr>
              <w:rPr>
                <w:rFonts w:asciiTheme="majorBidi" w:hAnsiTheme="majorBidi" w:cstheme="majorBidi"/>
                <w:sz w:val="32"/>
                <w:szCs w:val="32"/>
              </w:rPr>
            </w:pPr>
            <w:r>
              <w:rPr>
                <w:rFonts w:asciiTheme="majorBidi" w:hAnsiTheme="majorBidi" w:cstheme="majorBidi"/>
                <w:b/>
                <w:bCs/>
                <w:sz w:val="22"/>
                <w:szCs w:val="22"/>
              </w:rPr>
              <w:t>ICRC (n present/n determinable, %)</w:t>
            </w:r>
          </w:p>
        </w:tc>
        <w:tc>
          <w:tcPr>
            <w:tcW w:w="3300" w:type="dxa"/>
            <w:shd w:val="clear" w:color="auto" w:fill="D9E2F3"/>
            <w:tcMar>
              <w:top w:w="90" w:type="dxa"/>
              <w:left w:w="90" w:type="dxa"/>
              <w:bottom w:w="90" w:type="dxa"/>
              <w:right w:w="90" w:type="dxa"/>
            </w:tcMar>
          </w:tcPr>
          <w:p w14:paraId="66751375">
            <w:pPr>
              <w:rPr>
                <w:rFonts w:asciiTheme="majorBidi" w:hAnsiTheme="majorBidi" w:cstheme="majorBidi"/>
                <w:sz w:val="32"/>
                <w:szCs w:val="32"/>
              </w:rPr>
            </w:pPr>
            <w:r>
              <w:rPr>
                <w:rFonts w:asciiTheme="majorBidi" w:hAnsiTheme="majorBidi" w:cstheme="majorBidi"/>
                <w:b/>
                <w:bCs/>
                <w:sz w:val="22"/>
                <w:szCs w:val="22"/>
              </w:rPr>
              <w:t>WFP (n present/n determinable, %)</w:t>
            </w:r>
          </w:p>
        </w:tc>
      </w:tr>
      <w:tr w14:paraId="116EE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Mar>
              <w:top w:w="90" w:type="dxa"/>
              <w:left w:w="90" w:type="dxa"/>
              <w:bottom w:w="90" w:type="dxa"/>
              <w:right w:w="90" w:type="dxa"/>
            </w:tcMar>
          </w:tcPr>
          <w:p w14:paraId="1017390B">
            <w:pPr>
              <w:rPr>
                <w:rFonts w:asciiTheme="majorBidi" w:hAnsiTheme="majorBidi" w:cstheme="majorBidi"/>
                <w:sz w:val="32"/>
                <w:szCs w:val="32"/>
              </w:rPr>
            </w:pPr>
            <w:r>
              <w:rPr>
                <w:rFonts w:asciiTheme="majorBidi" w:hAnsiTheme="majorBidi" w:cstheme="majorBidi"/>
                <w:sz w:val="22"/>
                <w:szCs w:val="22"/>
              </w:rPr>
              <w:t>CA</w:t>
            </w:r>
          </w:p>
        </w:tc>
        <w:tc>
          <w:tcPr>
            <w:tcW w:w="3300" w:type="dxa"/>
            <w:tcMar>
              <w:top w:w="90" w:type="dxa"/>
              <w:left w:w="90" w:type="dxa"/>
              <w:bottom w:w="90" w:type="dxa"/>
              <w:right w:w="90" w:type="dxa"/>
            </w:tcMar>
          </w:tcPr>
          <w:p w14:paraId="7D4FA10C">
            <w:pPr>
              <w:rPr>
                <w:rFonts w:asciiTheme="majorBidi" w:hAnsiTheme="majorBidi" w:cstheme="majorBidi"/>
                <w:sz w:val="32"/>
                <w:szCs w:val="32"/>
              </w:rPr>
            </w:pPr>
            <w:r>
              <w:rPr>
                <w:rFonts w:asciiTheme="majorBidi" w:hAnsiTheme="majorBidi" w:cstheme="majorBidi"/>
                <w:sz w:val="22"/>
                <w:szCs w:val="22"/>
              </w:rPr>
              <w:t>5/5 (100%)</w:t>
            </w:r>
          </w:p>
        </w:tc>
        <w:tc>
          <w:tcPr>
            <w:tcW w:w="3300" w:type="dxa"/>
            <w:tcMar>
              <w:top w:w="90" w:type="dxa"/>
              <w:left w:w="90" w:type="dxa"/>
              <w:bottom w:w="90" w:type="dxa"/>
              <w:right w:w="90" w:type="dxa"/>
            </w:tcMar>
          </w:tcPr>
          <w:p w14:paraId="4EE2D5B3">
            <w:pPr>
              <w:rPr>
                <w:rFonts w:asciiTheme="majorBidi" w:hAnsiTheme="majorBidi" w:cstheme="majorBidi"/>
                <w:sz w:val="32"/>
                <w:szCs w:val="32"/>
              </w:rPr>
            </w:pPr>
            <w:r>
              <w:rPr>
                <w:rFonts w:asciiTheme="majorBidi" w:hAnsiTheme="majorBidi" w:cstheme="majorBidi"/>
                <w:sz w:val="22"/>
                <w:szCs w:val="22"/>
              </w:rPr>
              <w:t>5/5 (100%)</w:t>
            </w:r>
          </w:p>
        </w:tc>
      </w:tr>
      <w:tr w14:paraId="59217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Mar>
              <w:top w:w="90" w:type="dxa"/>
              <w:left w:w="90" w:type="dxa"/>
              <w:bottom w:w="90" w:type="dxa"/>
              <w:right w:w="90" w:type="dxa"/>
            </w:tcMar>
          </w:tcPr>
          <w:p w14:paraId="1E844146">
            <w:pPr>
              <w:rPr>
                <w:rFonts w:asciiTheme="majorBidi" w:hAnsiTheme="majorBidi" w:cstheme="majorBidi"/>
                <w:sz w:val="32"/>
                <w:szCs w:val="32"/>
              </w:rPr>
            </w:pPr>
            <w:r>
              <w:rPr>
                <w:rFonts w:asciiTheme="majorBidi" w:hAnsiTheme="majorBidi" w:cstheme="majorBidi"/>
                <w:sz w:val="22"/>
                <w:szCs w:val="22"/>
              </w:rPr>
              <w:t>ISD</w:t>
            </w:r>
          </w:p>
        </w:tc>
        <w:tc>
          <w:tcPr>
            <w:tcW w:w="3300" w:type="dxa"/>
            <w:tcMar>
              <w:top w:w="90" w:type="dxa"/>
              <w:left w:w="90" w:type="dxa"/>
              <w:bottom w:w="90" w:type="dxa"/>
              <w:right w:w="90" w:type="dxa"/>
            </w:tcMar>
          </w:tcPr>
          <w:p w14:paraId="517E9A37">
            <w:pPr>
              <w:rPr>
                <w:rFonts w:asciiTheme="majorBidi" w:hAnsiTheme="majorBidi" w:cstheme="majorBidi"/>
                <w:sz w:val="32"/>
                <w:szCs w:val="32"/>
              </w:rPr>
            </w:pPr>
            <w:r>
              <w:rPr>
                <w:rFonts w:asciiTheme="majorBidi" w:hAnsiTheme="majorBidi" w:cstheme="majorBidi"/>
                <w:sz w:val="22"/>
                <w:szCs w:val="22"/>
              </w:rPr>
              <w:t>5/5 (100%)</w:t>
            </w:r>
          </w:p>
        </w:tc>
        <w:tc>
          <w:tcPr>
            <w:tcW w:w="3300" w:type="dxa"/>
            <w:tcMar>
              <w:top w:w="90" w:type="dxa"/>
              <w:left w:w="90" w:type="dxa"/>
              <w:bottom w:w="90" w:type="dxa"/>
              <w:right w:w="90" w:type="dxa"/>
            </w:tcMar>
          </w:tcPr>
          <w:p w14:paraId="6A74C3A8">
            <w:pPr>
              <w:rPr>
                <w:rFonts w:asciiTheme="majorBidi" w:hAnsiTheme="majorBidi" w:cstheme="majorBidi"/>
                <w:sz w:val="32"/>
                <w:szCs w:val="32"/>
              </w:rPr>
            </w:pPr>
            <w:r>
              <w:rPr>
                <w:rFonts w:asciiTheme="majorBidi" w:hAnsiTheme="majorBidi" w:cstheme="majorBidi"/>
                <w:sz w:val="22"/>
                <w:szCs w:val="22"/>
              </w:rPr>
              <w:t>1/4 (25%)</w:t>
            </w:r>
          </w:p>
        </w:tc>
      </w:tr>
      <w:tr w14:paraId="776C8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Mar>
              <w:top w:w="90" w:type="dxa"/>
              <w:left w:w="90" w:type="dxa"/>
              <w:bottom w:w="90" w:type="dxa"/>
              <w:right w:w="90" w:type="dxa"/>
            </w:tcMar>
          </w:tcPr>
          <w:p w14:paraId="17DA0DD5">
            <w:pPr>
              <w:rPr>
                <w:rFonts w:asciiTheme="majorBidi" w:hAnsiTheme="majorBidi" w:cstheme="majorBidi"/>
                <w:sz w:val="32"/>
                <w:szCs w:val="32"/>
              </w:rPr>
            </w:pPr>
            <w:r>
              <w:rPr>
                <w:rFonts w:asciiTheme="majorBidi" w:hAnsiTheme="majorBidi" w:cstheme="majorBidi"/>
                <w:sz w:val="22"/>
                <w:szCs w:val="22"/>
              </w:rPr>
              <w:t>TE</w:t>
            </w:r>
          </w:p>
        </w:tc>
        <w:tc>
          <w:tcPr>
            <w:tcW w:w="3300" w:type="dxa"/>
            <w:tcMar>
              <w:top w:w="90" w:type="dxa"/>
              <w:left w:w="90" w:type="dxa"/>
              <w:bottom w:w="90" w:type="dxa"/>
              <w:right w:w="90" w:type="dxa"/>
            </w:tcMar>
          </w:tcPr>
          <w:p w14:paraId="0E69FC08">
            <w:pPr>
              <w:rPr>
                <w:rFonts w:asciiTheme="majorBidi" w:hAnsiTheme="majorBidi" w:cstheme="majorBidi"/>
                <w:sz w:val="32"/>
                <w:szCs w:val="32"/>
              </w:rPr>
            </w:pPr>
            <w:r>
              <w:rPr>
                <w:rFonts w:asciiTheme="majorBidi" w:hAnsiTheme="majorBidi" w:cstheme="majorBidi"/>
                <w:sz w:val="22"/>
                <w:szCs w:val="22"/>
              </w:rPr>
              <w:t>2/5 (40%)</w:t>
            </w:r>
          </w:p>
        </w:tc>
        <w:tc>
          <w:tcPr>
            <w:tcW w:w="3300" w:type="dxa"/>
            <w:tcMar>
              <w:top w:w="90" w:type="dxa"/>
              <w:left w:w="90" w:type="dxa"/>
              <w:bottom w:w="90" w:type="dxa"/>
              <w:right w:w="90" w:type="dxa"/>
            </w:tcMar>
          </w:tcPr>
          <w:p w14:paraId="087370E3">
            <w:pPr>
              <w:rPr>
                <w:rFonts w:asciiTheme="majorBidi" w:hAnsiTheme="majorBidi" w:cstheme="majorBidi"/>
                <w:sz w:val="32"/>
                <w:szCs w:val="32"/>
              </w:rPr>
            </w:pPr>
            <w:r>
              <w:rPr>
                <w:rFonts w:asciiTheme="majorBidi" w:hAnsiTheme="majorBidi" w:cstheme="majorBidi"/>
                <w:sz w:val="22"/>
                <w:szCs w:val="22"/>
              </w:rPr>
              <w:t>0/5 (0%)</w:t>
            </w:r>
          </w:p>
        </w:tc>
      </w:tr>
      <w:tr w14:paraId="551A6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Mar>
              <w:top w:w="90" w:type="dxa"/>
              <w:left w:w="90" w:type="dxa"/>
              <w:bottom w:w="90" w:type="dxa"/>
              <w:right w:w="90" w:type="dxa"/>
            </w:tcMar>
          </w:tcPr>
          <w:p w14:paraId="7F3F45FE">
            <w:pPr>
              <w:rPr>
                <w:rFonts w:asciiTheme="majorBidi" w:hAnsiTheme="majorBidi" w:cstheme="majorBidi"/>
                <w:sz w:val="32"/>
                <w:szCs w:val="32"/>
              </w:rPr>
            </w:pPr>
            <w:r>
              <w:rPr>
                <w:rFonts w:asciiTheme="majorBidi" w:hAnsiTheme="majorBidi" w:cstheme="majorBidi"/>
                <w:sz w:val="22"/>
                <w:szCs w:val="22"/>
              </w:rPr>
              <w:t>RAF</w:t>
            </w:r>
          </w:p>
        </w:tc>
        <w:tc>
          <w:tcPr>
            <w:tcW w:w="3300" w:type="dxa"/>
            <w:tcMar>
              <w:top w:w="90" w:type="dxa"/>
              <w:left w:w="90" w:type="dxa"/>
              <w:bottom w:w="90" w:type="dxa"/>
              <w:right w:w="90" w:type="dxa"/>
            </w:tcMar>
          </w:tcPr>
          <w:p w14:paraId="1EDC6161">
            <w:pPr>
              <w:rPr>
                <w:rFonts w:asciiTheme="majorBidi" w:hAnsiTheme="majorBidi" w:cstheme="majorBidi"/>
                <w:sz w:val="32"/>
                <w:szCs w:val="32"/>
              </w:rPr>
            </w:pPr>
            <w:r>
              <w:rPr>
                <w:rFonts w:asciiTheme="majorBidi" w:hAnsiTheme="majorBidi" w:cstheme="majorBidi"/>
                <w:sz w:val="22"/>
                <w:szCs w:val="22"/>
              </w:rPr>
              <w:t>3/4 (75%)</w:t>
            </w:r>
          </w:p>
        </w:tc>
        <w:tc>
          <w:tcPr>
            <w:tcW w:w="3300" w:type="dxa"/>
            <w:tcMar>
              <w:top w:w="90" w:type="dxa"/>
              <w:left w:w="90" w:type="dxa"/>
              <w:bottom w:w="90" w:type="dxa"/>
              <w:right w:w="90" w:type="dxa"/>
            </w:tcMar>
          </w:tcPr>
          <w:p w14:paraId="408235A5">
            <w:pPr>
              <w:rPr>
                <w:rFonts w:asciiTheme="majorBidi" w:hAnsiTheme="majorBidi" w:cstheme="majorBidi"/>
                <w:sz w:val="32"/>
                <w:szCs w:val="32"/>
              </w:rPr>
            </w:pPr>
            <w:r>
              <w:rPr>
                <w:rFonts w:asciiTheme="majorBidi" w:hAnsiTheme="majorBidi" w:cstheme="majorBidi"/>
                <w:sz w:val="22"/>
                <w:szCs w:val="22"/>
              </w:rPr>
              <w:t>0/5 (0%)</w:t>
            </w:r>
          </w:p>
        </w:tc>
      </w:tr>
      <w:tr w14:paraId="11AA1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Mar>
              <w:top w:w="90" w:type="dxa"/>
              <w:left w:w="90" w:type="dxa"/>
              <w:bottom w:w="90" w:type="dxa"/>
              <w:right w:w="90" w:type="dxa"/>
            </w:tcMar>
          </w:tcPr>
          <w:p w14:paraId="3B2B32BC">
            <w:pPr>
              <w:rPr>
                <w:rFonts w:asciiTheme="majorBidi" w:hAnsiTheme="majorBidi" w:cstheme="majorBidi"/>
                <w:sz w:val="32"/>
                <w:szCs w:val="32"/>
              </w:rPr>
            </w:pPr>
            <w:r>
              <w:rPr>
                <w:rFonts w:asciiTheme="majorBidi" w:hAnsiTheme="majorBidi" w:cstheme="majorBidi"/>
                <w:sz w:val="22"/>
                <w:szCs w:val="22"/>
              </w:rPr>
              <w:t>CoA</w:t>
            </w:r>
          </w:p>
        </w:tc>
        <w:tc>
          <w:tcPr>
            <w:tcW w:w="3300" w:type="dxa"/>
            <w:tcMar>
              <w:top w:w="90" w:type="dxa"/>
              <w:left w:w="90" w:type="dxa"/>
              <w:bottom w:w="90" w:type="dxa"/>
              <w:right w:w="90" w:type="dxa"/>
            </w:tcMar>
          </w:tcPr>
          <w:p w14:paraId="330224A9">
            <w:pPr>
              <w:rPr>
                <w:rFonts w:asciiTheme="majorBidi" w:hAnsiTheme="majorBidi" w:cstheme="majorBidi"/>
                <w:sz w:val="32"/>
                <w:szCs w:val="32"/>
              </w:rPr>
            </w:pPr>
            <w:r>
              <w:rPr>
                <w:rFonts w:asciiTheme="majorBidi" w:hAnsiTheme="majorBidi" w:cstheme="majorBidi"/>
                <w:sz w:val="22"/>
                <w:szCs w:val="22"/>
              </w:rPr>
              <w:t>4/5 (80%)</w:t>
            </w:r>
          </w:p>
        </w:tc>
        <w:tc>
          <w:tcPr>
            <w:tcW w:w="3300" w:type="dxa"/>
            <w:tcMar>
              <w:top w:w="90" w:type="dxa"/>
              <w:left w:w="90" w:type="dxa"/>
              <w:bottom w:w="90" w:type="dxa"/>
              <w:right w:w="90" w:type="dxa"/>
            </w:tcMar>
          </w:tcPr>
          <w:p w14:paraId="5A40292F">
            <w:pPr>
              <w:rPr>
                <w:rFonts w:asciiTheme="majorBidi" w:hAnsiTheme="majorBidi" w:cstheme="majorBidi"/>
                <w:sz w:val="32"/>
                <w:szCs w:val="32"/>
              </w:rPr>
            </w:pPr>
            <w:r>
              <w:rPr>
                <w:rFonts w:asciiTheme="majorBidi" w:hAnsiTheme="majorBidi" w:cstheme="majorBidi"/>
                <w:sz w:val="22"/>
                <w:szCs w:val="22"/>
              </w:rPr>
              <w:t>4/4 (100%)</w:t>
            </w:r>
          </w:p>
        </w:tc>
      </w:tr>
      <w:tr w14:paraId="0AA9F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Mar>
              <w:top w:w="90" w:type="dxa"/>
              <w:left w:w="90" w:type="dxa"/>
              <w:bottom w:w="90" w:type="dxa"/>
              <w:right w:w="90" w:type="dxa"/>
            </w:tcMar>
          </w:tcPr>
          <w:p w14:paraId="18D1EDF4">
            <w:pPr>
              <w:rPr>
                <w:rFonts w:asciiTheme="majorBidi" w:hAnsiTheme="majorBidi" w:cstheme="majorBidi"/>
                <w:sz w:val="32"/>
                <w:szCs w:val="32"/>
              </w:rPr>
            </w:pPr>
            <w:r>
              <w:rPr>
                <w:rFonts w:asciiTheme="majorBidi" w:hAnsiTheme="majorBidi" w:cstheme="majorBidi"/>
                <w:sz w:val="22"/>
                <w:szCs w:val="22"/>
              </w:rPr>
              <w:t>EMP</w:t>
            </w:r>
          </w:p>
        </w:tc>
        <w:tc>
          <w:tcPr>
            <w:tcW w:w="3300" w:type="dxa"/>
            <w:tcMar>
              <w:top w:w="90" w:type="dxa"/>
              <w:left w:w="90" w:type="dxa"/>
              <w:bottom w:w="90" w:type="dxa"/>
              <w:right w:w="90" w:type="dxa"/>
            </w:tcMar>
          </w:tcPr>
          <w:p w14:paraId="6A809A29">
            <w:pPr>
              <w:rPr>
                <w:rFonts w:asciiTheme="majorBidi" w:hAnsiTheme="majorBidi" w:cstheme="majorBidi"/>
                <w:sz w:val="32"/>
                <w:szCs w:val="32"/>
              </w:rPr>
            </w:pPr>
            <w:r>
              <w:rPr>
                <w:rFonts w:asciiTheme="majorBidi" w:hAnsiTheme="majorBidi" w:cstheme="majorBidi"/>
                <w:sz w:val="22"/>
                <w:szCs w:val="22"/>
              </w:rPr>
              <w:t>5/5 (100%)</w:t>
            </w:r>
          </w:p>
        </w:tc>
        <w:tc>
          <w:tcPr>
            <w:tcW w:w="3300" w:type="dxa"/>
            <w:tcMar>
              <w:top w:w="90" w:type="dxa"/>
              <w:left w:w="90" w:type="dxa"/>
              <w:bottom w:w="90" w:type="dxa"/>
              <w:right w:w="90" w:type="dxa"/>
            </w:tcMar>
          </w:tcPr>
          <w:p w14:paraId="092515E8">
            <w:pPr>
              <w:rPr>
                <w:rFonts w:asciiTheme="majorBidi" w:hAnsiTheme="majorBidi" w:cstheme="majorBidi"/>
                <w:sz w:val="32"/>
                <w:szCs w:val="32"/>
              </w:rPr>
            </w:pPr>
            <w:r>
              <w:rPr>
                <w:rFonts w:asciiTheme="majorBidi" w:hAnsiTheme="majorBidi" w:cstheme="majorBidi"/>
                <w:sz w:val="22"/>
                <w:szCs w:val="22"/>
              </w:rPr>
              <w:t>0/4 (0%)</w:t>
            </w:r>
          </w:p>
        </w:tc>
      </w:tr>
      <w:tr w14:paraId="5AEC7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Mar>
              <w:top w:w="90" w:type="dxa"/>
              <w:left w:w="90" w:type="dxa"/>
              <w:bottom w:w="90" w:type="dxa"/>
              <w:right w:w="90" w:type="dxa"/>
            </w:tcMar>
          </w:tcPr>
          <w:p w14:paraId="425961AF">
            <w:pPr>
              <w:rPr>
                <w:rFonts w:asciiTheme="majorBidi" w:hAnsiTheme="majorBidi" w:cstheme="majorBidi"/>
                <w:sz w:val="32"/>
                <w:szCs w:val="32"/>
              </w:rPr>
            </w:pPr>
            <w:r>
              <w:rPr>
                <w:rFonts w:asciiTheme="majorBidi" w:hAnsiTheme="majorBidi" w:cstheme="majorBidi"/>
                <w:sz w:val="22"/>
                <w:szCs w:val="22"/>
              </w:rPr>
              <w:t>BPG</w:t>
            </w:r>
          </w:p>
        </w:tc>
        <w:tc>
          <w:tcPr>
            <w:tcW w:w="3300" w:type="dxa"/>
            <w:tcMar>
              <w:top w:w="90" w:type="dxa"/>
              <w:left w:w="90" w:type="dxa"/>
              <w:bottom w:w="90" w:type="dxa"/>
              <w:right w:w="90" w:type="dxa"/>
            </w:tcMar>
          </w:tcPr>
          <w:p w14:paraId="31B41BAC">
            <w:pPr>
              <w:rPr>
                <w:rFonts w:asciiTheme="majorBidi" w:hAnsiTheme="majorBidi" w:cstheme="majorBidi"/>
                <w:sz w:val="32"/>
                <w:szCs w:val="32"/>
              </w:rPr>
            </w:pPr>
            <w:r>
              <w:rPr>
                <w:rFonts w:asciiTheme="majorBidi" w:hAnsiTheme="majorBidi" w:cstheme="majorBidi"/>
                <w:sz w:val="22"/>
                <w:szCs w:val="22"/>
              </w:rPr>
              <w:t>2/4 (50%)</w:t>
            </w:r>
          </w:p>
        </w:tc>
        <w:tc>
          <w:tcPr>
            <w:tcW w:w="3300" w:type="dxa"/>
            <w:tcMar>
              <w:top w:w="90" w:type="dxa"/>
              <w:left w:w="90" w:type="dxa"/>
              <w:bottom w:w="90" w:type="dxa"/>
              <w:right w:w="90" w:type="dxa"/>
            </w:tcMar>
          </w:tcPr>
          <w:p w14:paraId="61ADEEE3">
            <w:pPr>
              <w:rPr>
                <w:rFonts w:asciiTheme="majorBidi" w:hAnsiTheme="majorBidi" w:cstheme="majorBidi"/>
                <w:sz w:val="32"/>
                <w:szCs w:val="32"/>
              </w:rPr>
            </w:pPr>
            <w:r>
              <w:rPr>
                <w:rFonts w:asciiTheme="majorBidi" w:hAnsiTheme="majorBidi" w:cstheme="majorBidi"/>
                <w:sz w:val="22"/>
                <w:szCs w:val="22"/>
              </w:rPr>
              <w:t>1/4 (25%)</w:t>
            </w:r>
          </w:p>
        </w:tc>
      </w:tr>
      <w:tr w14:paraId="28BF6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Mar>
              <w:top w:w="90" w:type="dxa"/>
              <w:left w:w="90" w:type="dxa"/>
              <w:bottom w:w="90" w:type="dxa"/>
              <w:right w:w="90" w:type="dxa"/>
            </w:tcMar>
          </w:tcPr>
          <w:p w14:paraId="59F15D97">
            <w:pPr>
              <w:rPr>
                <w:rFonts w:asciiTheme="majorBidi" w:hAnsiTheme="majorBidi" w:cstheme="majorBidi"/>
                <w:sz w:val="32"/>
                <w:szCs w:val="32"/>
              </w:rPr>
            </w:pPr>
            <w:r>
              <w:rPr>
                <w:rFonts w:asciiTheme="majorBidi" w:hAnsiTheme="majorBidi" w:cstheme="majorBidi"/>
                <w:sz w:val="22"/>
                <w:szCs w:val="22"/>
              </w:rPr>
              <w:t>PBR</w:t>
            </w:r>
          </w:p>
        </w:tc>
        <w:tc>
          <w:tcPr>
            <w:tcW w:w="3300" w:type="dxa"/>
            <w:tcMar>
              <w:top w:w="90" w:type="dxa"/>
              <w:left w:w="90" w:type="dxa"/>
              <w:bottom w:w="90" w:type="dxa"/>
              <w:right w:w="90" w:type="dxa"/>
            </w:tcMar>
          </w:tcPr>
          <w:p w14:paraId="1D12EF5C">
            <w:pPr>
              <w:rPr>
                <w:rFonts w:asciiTheme="majorBidi" w:hAnsiTheme="majorBidi" w:cstheme="majorBidi"/>
                <w:sz w:val="32"/>
                <w:szCs w:val="32"/>
              </w:rPr>
            </w:pPr>
            <w:r>
              <w:rPr>
                <w:rFonts w:asciiTheme="majorBidi" w:hAnsiTheme="majorBidi" w:cstheme="majorBidi"/>
                <w:sz w:val="22"/>
                <w:szCs w:val="22"/>
              </w:rPr>
              <w:t>1/3 (33%)</w:t>
            </w:r>
          </w:p>
        </w:tc>
        <w:tc>
          <w:tcPr>
            <w:tcW w:w="3300" w:type="dxa"/>
            <w:tcMar>
              <w:top w:w="90" w:type="dxa"/>
              <w:left w:w="90" w:type="dxa"/>
              <w:bottom w:w="90" w:type="dxa"/>
              <w:right w:w="90" w:type="dxa"/>
            </w:tcMar>
          </w:tcPr>
          <w:p w14:paraId="6424E40B">
            <w:pPr>
              <w:rPr>
                <w:rFonts w:asciiTheme="majorBidi" w:hAnsiTheme="majorBidi" w:cstheme="majorBidi"/>
                <w:sz w:val="32"/>
                <w:szCs w:val="32"/>
              </w:rPr>
            </w:pPr>
            <w:r>
              <w:rPr>
                <w:rFonts w:asciiTheme="majorBidi" w:hAnsiTheme="majorBidi" w:cstheme="majorBidi"/>
                <w:sz w:val="22"/>
                <w:szCs w:val="22"/>
              </w:rPr>
              <w:t>0/5 (0%)</w:t>
            </w:r>
          </w:p>
        </w:tc>
      </w:tr>
      <w:tr w14:paraId="3E450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Mar>
              <w:top w:w="90" w:type="dxa"/>
              <w:left w:w="90" w:type="dxa"/>
              <w:bottom w:w="90" w:type="dxa"/>
              <w:right w:w="90" w:type="dxa"/>
            </w:tcMar>
          </w:tcPr>
          <w:p w14:paraId="4F9B7622">
            <w:pPr>
              <w:rPr>
                <w:rFonts w:asciiTheme="majorBidi" w:hAnsiTheme="majorBidi" w:cstheme="majorBidi"/>
                <w:sz w:val="32"/>
                <w:szCs w:val="32"/>
              </w:rPr>
            </w:pPr>
            <w:r>
              <w:rPr>
                <w:rFonts w:asciiTheme="majorBidi" w:hAnsiTheme="majorBidi" w:cstheme="majorBidi"/>
                <w:sz w:val="22"/>
                <w:szCs w:val="22"/>
              </w:rPr>
              <w:t>OC</w:t>
            </w:r>
          </w:p>
        </w:tc>
        <w:tc>
          <w:tcPr>
            <w:tcW w:w="3300" w:type="dxa"/>
            <w:tcMar>
              <w:top w:w="90" w:type="dxa"/>
              <w:left w:w="90" w:type="dxa"/>
              <w:bottom w:w="90" w:type="dxa"/>
              <w:right w:w="90" w:type="dxa"/>
            </w:tcMar>
          </w:tcPr>
          <w:p w14:paraId="7F2EF141">
            <w:pPr>
              <w:rPr>
                <w:rFonts w:asciiTheme="majorBidi" w:hAnsiTheme="majorBidi" w:cstheme="majorBidi"/>
                <w:sz w:val="32"/>
                <w:szCs w:val="32"/>
              </w:rPr>
            </w:pPr>
            <w:r>
              <w:rPr>
                <w:rFonts w:asciiTheme="majorBidi" w:hAnsiTheme="majorBidi" w:cstheme="majorBidi"/>
                <w:sz w:val="22"/>
                <w:szCs w:val="22"/>
              </w:rPr>
              <w:t>5/5 (100%)</w:t>
            </w:r>
          </w:p>
        </w:tc>
        <w:tc>
          <w:tcPr>
            <w:tcW w:w="3300" w:type="dxa"/>
            <w:tcMar>
              <w:top w:w="90" w:type="dxa"/>
              <w:left w:w="90" w:type="dxa"/>
              <w:bottom w:w="90" w:type="dxa"/>
              <w:right w:w="90" w:type="dxa"/>
            </w:tcMar>
          </w:tcPr>
          <w:p w14:paraId="14503580">
            <w:pPr>
              <w:rPr>
                <w:rFonts w:asciiTheme="majorBidi" w:hAnsiTheme="majorBidi" w:cstheme="majorBidi"/>
                <w:sz w:val="32"/>
                <w:szCs w:val="32"/>
              </w:rPr>
            </w:pPr>
            <w:r>
              <w:rPr>
                <w:rFonts w:asciiTheme="majorBidi" w:hAnsiTheme="majorBidi" w:cstheme="majorBidi"/>
                <w:sz w:val="22"/>
                <w:szCs w:val="22"/>
              </w:rPr>
              <w:t>3/4 (75%)</w:t>
            </w:r>
          </w:p>
        </w:tc>
      </w:tr>
      <w:tr w14:paraId="6FAF1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Mar>
              <w:top w:w="90" w:type="dxa"/>
              <w:left w:w="90" w:type="dxa"/>
              <w:bottom w:w="90" w:type="dxa"/>
              <w:right w:w="90" w:type="dxa"/>
            </w:tcMar>
          </w:tcPr>
          <w:p w14:paraId="25C4319C">
            <w:pPr>
              <w:rPr>
                <w:rFonts w:asciiTheme="majorBidi" w:hAnsiTheme="majorBidi" w:cstheme="majorBidi"/>
                <w:sz w:val="32"/>
                <w:szCs w:val="32"/>
              </w:rPr>
            </w:pPr>
            <w:r>
              <w:rPr>
                <w:rFonts w:asciiTheme="majorBidi" w:hAnsiTheme="majorBidi" w:cstheme="majorBidi"/>
                <w:sz w:val="22"/>
                <w:szCs w:val="22"/>
              </w:rPr>
              <w:t>TOC</w:t>
            </w:r>
          </w:p>
        </w:tc>
        <w:tc>
          <w:tcPr>
            <w:tcW w:w="3300" w:type="dxa"/>
            <w:tcMar>
              <w:top w:w="90" w:type="dxa"/>
              <w:left w:w="90" w:type="dxa"/>
              <w:bottom w:w="90" w:type="dxa"/>
              <w:right w:w="90" w:type="dxa"/>
            </w:tcMar>
          </w:tcPr>
          <w:p w14:paraId="4729ED32">
            <w:pPr>
              <w:rPr>
                <w:rFonts w:asciiTheme="majorBidi" w:hAnsiTheme="majorBidi" w:cstheme="majorBidi"/>
                <w:sz w:val="32"/>
                <w:szCs w:val="32"/>
              </w:rPr>
            </w:pPr>
            <w:r>
              <w:rPr>
                <w:rFonts w:asciiTheme="majorBidi" w:hAnsiTheme="majorBidi" w:cstheme="majorBidi"/>
                <w:sz w:val="22"/>
                <w:szCs w:val="22"/>
              </w:rPr>
              <w:t>2/4 (50%)</w:t>
            </w:r>
          </w:p>
        </w:tc>
        <w:tc>
          <w:tcPr>
            <w:tcW w:w="3300" w:type="dxa"/>
            <w:tcMar>
              <w:top w:w="90" w:type="dxa"/>
              <w:left w:w="90" w:type="dxa"/>
              <w:bottom w:w="90" w:type="dxa"/>
              <w:right w:w="90" w:type="dxa"/>
            </w:tcMar>
          </w:tcPr>
          <w:p w14:paraId="474D640E">
            <w:pPr>
              <w:rPr>
                <w:rFonts w:asciiTheme="majorBidi" w:hAnsiTheme="majorBidi" w:cstheme="majorBidi"/>
                <w:sz w:val="32"/>
                <w:szCs w:val="32"/>
              </w:rPr>
            </w:pPr>
            <w:r>
              <w:rPr>
                <w:rFonts w:asciiTheme="majorBidi" w:hAnsiTheme="majorBidi" w:cstheme="majorBidi"/>
                <w:sz w:val="22"/>
                <w:szCs w:val="22"/>
              </w:rPr>
              <w:t>0/5 (0%)</w:t>
            </w:r>
          </w:p>
        </w:tc>
      </w:tr>
      <w:tr w14:paraId="16C3F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Mar>
              <w:top w:w="90" w:type="dxa"/>
              <w:left w:w="90" w:type="dxa"/>
              <w:bottom w:w="90" w:type="dxa"/>
              <w:right w:w="90" w:type="dxa"/>
            </w:tcMar>
          </w:tcPr>
          <w:p w14:paraId="74D21F62">
            <w:pPr>
              <w:rPr>
                <w:rFonts w:asciiTheme="majorBidi" w:hAnsiTheme="majorBidi" w:cstheme="majorBidi"/>
                <w:sz w:val="32"/>
                <w:szCs w:val="32"/>
              </w:rPr>
            </w:pPr>
            <w:r>
              <w:rPr>
                <w:rFonts w:asciiTheme="majorBidi" w:hAnsiTheme="majorBidi" w:cstheme="majorBidi"/>
                <w:sz w:val="22"/>
                <w:szCs w:val="22"/>
              </w:rPr>
              <w:t>FP</w:t>
            </w:r>
          </w:p>
        </w:tc>
        <w:tc>
          <w:tcPr>
            <w:tcW w:w="3300" w:type="dxa"/>
            <w:tcMar>
              <w:top w:w="90" w:type="dxa"/>
              <w:left w:w="90" w:type="dxa"/>
              <w:bottom w:w="90" w:type="dxa"/>
              <w:right w:w="90" w:type="dxa"/>
            </w:tcMar>
          </w:tcPr>
          <w:p w14:paraId="64014C11">
            <w:pPr>
              <w:rPr>
                <w:rFonts w:asciiTheme="majorBidi" w:hAnsiTheme="majorBidi" w:cstheme="majorBidi"/>
                <w:sz w:val="32"/>
                <w:szCs w:val="32"/>
              </w:rPr>
            </w:pPr>
            <w:r>
              <w:rPr>
                <w:rFonts w:asciiTheme="majorBidi" w:hAnsiTheme="majorBidi" w:cstheme="majorBidi"/>
                <w:sz w:val="22"/>
                <w:szCs w:val="22"/>
              </w:rPr>
              <w:t>5/5 (100%)</w:t>
            </w:r>
          </w:p>
        </w:tc>
        <w:tc>
          <w:tcPr>
            <w:tcW w:w="3300" w:type="dxa"/>
            <w:tcMar>
              <w:top w:w="90" w:type="dxa"/>
              <w:left w:w="90" w:type="dxa"/>
              <w:bottom w:w="90" w:type="dxa"/>
              <w:right w:w="90" w:type="dxa"/>
            </w:tcMar>
          </w:tcPr>
          <w:p w14:paraId="71EDC44B">
            <w:pPr>
              <w:rPr>
                <w:rFonts w:asciiTheme="majorBidi" w:hAnsiTheme="majorBidi" w:cstheme="majorBidi"/>
                <w:sz w:val="32"/>
                <w:szCs w:val="32"/>
              </w:rPr>
            </w:pPr>
            <w:r>
              <w:rPr>
                <w:rFonts w:asciiTheme="majorBidi" w:hAnsiTheme="majorBidi" w:cstheme="majorBidi"/>
                <w:sz w:val="22"/>
                <w:szCs w:val="22"/>
              </w:rPr>
              <w:t>4/5 (80%)</w:t>
            </w:r>
          </w:p>
        </w:tc>
      </w:tr>
      <w:tr w14:paraId="2CCC8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Mar>
              <w:top w:w="90" w:type="dxa"/>
              <w:left w:w="90" w:type="dxa"/>
              <w:bottom w:w="90" w:type="dxa"/>
              <w:right w:w="90" w:type="dxa"/>
            </w:tcMar>
          </w:tcPr>
          <w:p w14:paraId="0F96F968">
            <w:pPr>
              <w:rPr>
                <w:rFonts w:asciiTheme="majorBidi" w:hAnsiTheme="majorBidi" w:cstheme="majorBidi"/>
                <w:sz w:val="32"/>
                <w:szCs w:val="32"/>
              </w:rPr>
            </w:pPr>
            <w:r>
              <w:rPr>
                <w:rFonts w:asciiTheme="majorBidi" w:hAnsiTheme="majorBidi" w:cstheme="majorBidi"/>
                <w:sz w:val="22"/>
                <w:szCs w:val="22"/>
              </w:rPr>
              <w:t>UM</w:t>
            </w:r>
          </w:p>
        </w:tc>
        <w:tc>
          <w:tcPr>
            <w:tcW w:w="3300" w:type="dxa"/>
            <w:tcMar>
              <w:top w:w="90" w:type="dxa"/>
              <w:left w:w="90" w:type="dxa"/>
              <w:bottom w:w="90" w:type="dxa"/>
              <w:right w:w="90" w:type="dxa"/>
            </w:tcMar>
          </w:tcPr>
          <w:p w14:paraId="75E891E7">
            <w:pPr>
              <w:rPr>
                <w:rFonts w:asciiTheme="majorBidi" w:hAnsiTheme="majorBidi" w:cstheme="majorBidi"/>
                <w:sz w:val="32"/>
                <w:szCs w:val="32"/>
              </w:rPr>
            </w:pPr>
            <w:r>
              <w:rPr>
                <w:rFonts w:asciiTheme="majorBidi" w:hAnsiTheme="majorBidi" w:cstheme="majorBidi"/>
                <w:sz w:val="22"/>
                <w:szCs w:val="22"/>
              </w:rPr>
              <w:t>3/4 (75%)</w:t>
            </w:r>
          </w:p>
        </w:tc>
        <w:tc>
          <w:tcPr>
            <w:tcW w:w="3300" w:type="dxa"/>
            <w:tcMar>
              <w:top w:w="90" w:type="dxa"/>
              <w:left w:w="90" w:type="dxa"/>
              <w:bottom w:w="90" w:type="dxa"/>
              <w:right w:w="90" w:type="dxa"/>
            </w:tcMar>
          </w:tcPr>
          <w:p w14:paraId="4E80825F">
            <w:pPr>
              <w:rPr>
                <w:rFonts w:asciiTheme="majorBidi" w:hAnsiTheme="majorBidi" w:cstheme="majorBidi"/>
                <w:sz w:val="32"/>
                <w:szCs w:val="32"/>
              </w:rPr>
            </w:pPr>
            <w:r>
              <w:rPr>
                <w:rFonts w:asciiTheme="majorBidi" w:hAnsiTheme="majorBidi" w:cstheme="majorBidi"/>
                <w:sz w:val="22"/>
                <w:szCs w:val="22"/>
              </w:rPr>
              <w:t>0/2 (0%)</w:t>
            </w:r>
          </w:p>
        </w:tc>
      </w:tr>
    </w:tbl>
    <w:p w14:paraId="5FF27717">
      <w:pPr>
        <w:spacing w:before="60" w:after="180"/>
      </w:pPr>
      <w:r>
        <w:rPr>
          <w:i/>
          <w:sz w:val="18"/>
        </w:rPr>
        <w:t>Source: Author's own calculation from the Master Coding Matrix (Supplementary Tables S3-S4); percentages are descriptive corpus-level frequencies, not inferential statistics (Section 12.8).</w:t>
      </w:r>
    </w:p>
    <w:p w14:paraId="65722BEC">
      <w:pPr>
        <w:spacing w:after="200" w:line="360" w:lineRule="auto"/>
        <w:jc w:val="both"/>
        <w:rPr>
          <w:rFonts w:asciiTheme="majorBidi" w:hAnsiTheme="majorBidi" w:cstheme="majorBidi"/>
          <w:sz w:val="32"/>
          <w:szCs w:val="32"/>
        </w:rPr>
      </w:pPr>
      <w:r>
        <w:rPr>
          <w:rFonts w:asciiTheme="majorBidi" w:hAnsiTheme="majorBidi" w:cstheme="majorBidi"/>
          <w:sz w:val="32"/>
          <w:szCs w:val="32"/>
        </w:rPr>
        <w:t xml:space="preserve"> </w:t>
      </w:r>
    </w:p>
    <w:p w14:paraId="0DF1E57B">
      <w:pPr>
        <w:spacing w:after="200" w:line="360" w:lineRule="auto"/>
        <w:jc w:val="both"/>
        <w:rPr>
          <w:rFonts w:asciiTheme="majorBidi" w:hAnsiTheme="majorBidi" w:cstheme="majorBidi"/>
          <w:sz w:val="32"/>
          <w:szCs w:val="32"/>
        </w:rPr>
      </w:pPr>
      <w:r>
        <w:rPr>
          <w:rFonts w:asciiTheme="majorBidi" w:hAnsiTheme="majorBidi" w:cstheme="majorBidi"/>
          <w:sz w:val="32"/>
          <w:szCs w:val="32"/>
        </w:rPr>
        <w:t>Figure 1 visualizes this comparison for codes with at least three determinable documents per case (excluding TE, BPG, PBR, TOC, and UM for WFP or ICRC where the determinable count falls below this threshold, to avoid over-interpreting very small denominators).</w:t>
      </w:r>
    </w:p>
    <w:p w14:paraId="7B0A0BF1">
      <w:pPr>
        <w:spacing w:after="200"/>
        <w:jc w:val="center"/>
        <w:rPr>
          <w:rFonts w:asciiTheme="majorBidi" w:hAnsiTheme="majorBidi" w:cstheme="majorBidi"/>
          <w:sz w:val="32"/>
          <w:szCs w:val="32"/>
        </w:rPr>
      </w:pPr>
      <w:r>
        <w:rPr>
          <w:rFonts w:asciiTheme="majorBidi" w:hAnsiTheme="majorBidi" w:cstheme="majorBidi"/>
          <w:sz w:val="32"/>
          <w:szCs w:val="32"/>
        </w:rPr>
        <w:drawing>
          <wp:inline distT="0" distB="0" distL="0" distR="0">
            <wp:extent cx="5334000" cy="3238500"/>
            <wp:effectExtent l="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pic:cNvPicPr>
                      <a:picLocks noChangeAspect="1" noChangeArrowheads="1"/>
                    </pic:cNvPicPr>
                  </pic:nvPicPr>
                  <pic:blipFill>
                    <a:blip r:embed="rId5"/>
                    <a:srcRect/>
                    <a:stretch>
                      <a:fillRect/>
                    </a:stretch>
                  </pic:blipFill>
                  <pic:spPr>
                    <a:xfrm>
                      <a:off x="0" y="0"/>
                      <a:ext cx="5334000" cy="3238500"/>
                    </a:xfrm>
                    <a:prstGeom prst="rect">
                      <a:avLst/>
                    </a:prstGeom>
                  </pic:spPr>
                </pic:pic>
              </a:graphicData>
            </a:graphic>
          </wp:inline>
        </w:drawing>
      </w:r>
    </w:p>
    <w:p w14:paraId="261EAAE0">
      <w:pPr>
        <w:spacing w:after="200" w:line="360" w:lineRule="auto"/>
        <w:jc w:val="center"/>
        <w:rPr>
          <w:rFonts w:asciiTheme="majorBidi" w:hAnsiTheme="majorBidi" w:cstheme="majorBidi"/>
          <w:sz w:val="32"/>
          <w:szCs w:val="32"/>
        </w:rPr>
      </w:pPr>
      <w:r>
        <w:rPr>
          <w:rFonts w:asciiTheme="majorBidi" w:hAnsiTheme="majorBidi" w:cstheme="majorBidi"/>
          <w:i/>
          <w:iCs/>
          <w:sz w:val="32"/>
          <w:szCs w:val="32"/>
        </w:rPr>
        <w:t>Figure 1. Comparative Communication Strategy Profile. Bars show the percentage of determinable documents per organization coded present for each dimension; exact fractions are in Section 12.8.</w:t>
      </w:r>
    </w:p>
    <w:p w14:paraId="6CE76FF2">
      <w:pPr>
        <w:pStyle w:val="2"/>
        <w:spacing w:before="360" w:after="160"/>
        <w:rPr>
          <w:rFonts w:asciiTheme="majorBidi" w:hAnsiTheme="majorBidi" w:cstheme="majorBidi"/>
          <w:sz w:val="40"/>
          <w:szCs w:val="40"/>
        </w:rPr>
      </w:pPr>
      <w:r>
        <w:rPr>
          <w:rFonts w:asciiTheme="majorBidi" w:hAnsiTheme="majorBidi" w:cstheme="majorBidi"/>
          <w:b/>
          <w:bCs/>
          <w:sz w:val="36"/>
          <w:szCs w:val="36"/>
        </w:rPr>
        <w:t>12.9 Timeline Figure</w:t>
      </w:r>
    </w:p>
    <w:p w14:paraId="535DECD6">
      <w:pPr>
        <w:spacing w:after="200"/>
        <w:jc w:val="center"/>
        <w:rPr>
          <w:rFonts w:asciiTheme="majorBidi" w:hAnsiTheme="majorBidi" w:cstheme="majorBidi"/>
          <w:sz w:val="32"/>
          <w:szCs w:val="32"/>
        </w:rPr>
      </w:pPr>
      <w:r>
        <w:rPr>
          <w:rFonts w:asciiTheme="majorBidi" w:hAnsiTheme="majorBidi" w:cstheme="majorBidi"/>
          <w:sz w:val="32"/>
          <w:szCs w:val="32"/>
        </w:rPr>
        <w:drawing>
          <wp:inline distT="0" distB="0" distL="0" distR="0">
            <wp:extent cx="5334000" cy="238125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pic:cNvPicPr>
                      <a:picLocks noChangeAspect="1" noChangeArrowheads="1"/>
                    </pic:cNvPicPr>
                  </pic:nvPicPr>
                  <pic:blipFill>
                    <a:blip r:embed="rId6"/>
                    <a:srcRect/>
                    <a:stretch>
                      <a:fillRect/>
                    </a:stretch>
                  </pic:blipFill>
                  <pic:spPr>
                    <a:xfrm>
                      <a:off x="0" y="0"/>
                      <a:ext cx="5334000" cy="2381250"/>
                    </a:xfrm>
                    <a:prstGeom prst="rect">
                      <a:avLst/>
                    </a:prstGeom>
                  </pic:spPr>
                </pic:pic>
              </a:graphicData>
            </a:graphic>
          </wp:inline>
        </w:drawing>
      </w:r>
    </w:p>
    <w:p w14:paraId="7A60A1E1">
      <w:pPr>
        <w:spacing w:after="200" w:line="360" w:lineRule="auto"/>
        <w:jc w:val="center"/>
        <w:rPr>
          <w:rFonts w:asciiTheme="majorBidi" w:hAnsiTheme="majorBidi" w:cstheme="majorBidi"/>
          <w:sz w:val="32"/>
          <w:szCs w:val="32"/>
        </w:rPr>
      </w:pPr>
      <w:r>
        <w:rPr>
          <w:rFonts w:asciiTheme="majorBidi" w:hAnsiTheme="majorBidi" w:cstheme="majorBidi"/>
          <w:i/>
          <w:iCs/>
          <w:sz w:val="32"/>
          <w:szCs w:val="32"/>
        </w:rPr>
        <w:t>Figure 2. Crisis Communication Timelines. Each organization's events are plotted as days elapsed from its own first documented event (independent scales); no missing dates were inferred.</w:t>
      </w:r>
    </w:p>
    <w:p w14:paraId="630017B6">
      <w:pPr>
        <w:pStyle w:val="2"/>
        <w:spacing w:before="360" w:after="160"/>
        <w:rPr>
          <w:rFonts w:asciiTheme="majorBidi" w:hAnsiTheme="majorBidi" w:cstheme="majorBidi"/>
          <w:sz w:val="40"/>
          <w:szCs w:val="40"/>
        </w:rPr>
      </w:pPr>
      <w:r>
        <w:rPr>
          <w:rFonts w:asciiTheme="majorBidi" w:hAnsiTheme="majorBidi" w:cstheme="majorBidi"/>
          <w:b/>
          <w:bCs/>
          <w:sz w:val="36"/>
          <w:szCs w:val="36"/>
        </w:rPr>
        <w:t>13. Findings</w:t>
      </w:r>
    </w:p>
    <w:p w14:paraId="7C092AE3">
      <w:pPr>
        <w:pStyle w:val="3"/>
        <w:spacing w:before="260" w:after="140"/>
        <w:rPr>
          <w:rFonts w:asciiTheme="majorBidi" w:hAnsiTheme="majorBidi" w:cstheme="majorBidi"/>
          <w:sz w:val="32"/>
          <w:szCs w:val="32"/>
        </w:rPr>
      </w:pPr>
      <w:r>
        <w:rPr>
          <w:rFonts w:asciiTheme="majorBidi" w:hAnsiTheme="majorBidi" w:cstheme="majorBidi"/>
          <w:b/>
          <w:bCs/>
          <w:sz w:val="32"/>
          <w:szCs w:val="32"/>
        </w:rPr>
        <w:t>13.1 ICRC</w:t>
      </w:r>
    </w:p>
    <w:p w14:paraId="32126F7A">
      <w:pPr>
        <w:spacing w:after="200" w:line="360" w:lineRule="auto"/>
        <w:jc w:val="both"/>
        <w:rPr>
          <w:rFonts w:asciiTheme="majorBidi" w:hAnsiTheme="majorBidi" w:cstheme="majorBidi"/>
          <w:sz w:val="32"/>
          <w:szCs w:val="32"/>
        </w:rPr>
      </w:pPr>
      <w:r>
        <w:rPr>
          <w:rFonts w:asciiTheme="majorBidi" w:hAnsiTheme="majorBidi" w:cstheme="majorBidi"/>
          <w:sz w:val="32"/>
          <w:szCs w:val="32"/>
        </w:rPr>
        <w:t>Across its five Level A communications, the ICRC corpus documents a sustained sequence moving from acknowledgement (19 Jan) to explicit institutional accountability framing (29 Jan: "this is not a responsibility we have taken lightly") to detailed technical and analytical disclosure (~16 Feb: intrusion date, exploited vulnerability, remediation measures) to beneficiary-directed guidance. Two features recur across multiple documents: first, an explicit accountability framing that credits ICRC's obligation to "partners and the people we serve"; second, an explicit and repeated statement that certain details - for instance, regarding the identity or location of individuals - are not disclosed because doing so would not serve affected people's interests. This second feature is coded as protection-bounded transparency: transparency exercised for accountability purposes but deliberately bounded where further disclosure could itself cause harm.</w:t>
      </w:r>
    </w:p>
    <w:p w14:paraId="0A9DFD39">
      <w:pPr>
        <w:pStyle w:val="3"/>
        <w:spacing w:before="260" w:after="140"/>
        <w:rPr>
          <w:rFonts w:asciiTheme="majorBidi" w:hAnsiTheme="majorBidi" w:cstheme="majorBidi"/>
          <w:sz w:val="32"/>
          <w:szCs w:val="32"/>
        </w:rPr>
      </w:pPr>
      <w:r>
        <w:rPr>
          <w:rFonts w:asciiTheme="majorBidi" w:hAnsiTheme="majorBidi" w:cstheme="majorBidi"/>
          <w:b/>
          <w:bCs/>
          <w:sz w:val="32"/>
          <w:szCs w:val="32"/>
        </w:rPr>
        <w:t>13.2 WFP</w:t>
      </w:r>
    </w:p>
    <w:p w14:paraId="24FD279A">
      <w:pPr>
        <w:spacing w:after="200" w:line="360" w:lineRule="auto"/>
        <w:jc w:val="both"/>
        <w:rPr>
          <w:rFonts w:asciiTheme="majorBidi" w:hAnsiTheme="majorBidi" w:cstheme="majorBidi"/>
          <w:sz w:val="32"/>
          <w:szCs w:val="32"/>
        </w:rPr>
      </w:pPr>
      <w:r>
        <w:rPr>
          <w:rFonts w:asciiTheme="majorBidi" w:hAnsiTheme="majorBidi" w:cstheme="majorBidi"/>
          <w:sz w:val="32"/>
          <w:szCs w:val="32"/>
        </w:rPr>
        <w:t>Across its five currently documented Level A communications, spanning 31 May to 29 July 2026, the WFP corpus shows a consistent emphasis on beneficiary notification, protective/anti-fraud guidance, incident containment, security-control reinforcement, and - distinctively - assurance that humanitarian assistance to existing beneficiaries continues uninterrupted despite the platform shutdown. Institutional responsibility framing is present but less developed than in the ICRC corpus: WFP's official statements center on "unauthorized access" and remediation steps rather than on an extended accountability narrative, and no risk assessment, investigation findings, or confirmed total-affected figure had been publicly disclosed as of the most recent documented communication. This pattern is no longer attributable only to case recency: the corpus now documents an approximately eight-week gap in public communication (2 June-29 July 2026) and an internal staff-guidance instruction to limit technical explanation of the incident (Section 12.4), both of which are consistent with an emphasis on operational continuity and controlled messaging rather than extended public accountability; the interpretive significance of this pattern is addressed in the Discussion (Section 14).</w:t>
      </w:r>
    </w:p>
    <w:p w14:paraId="08A75154">
      <w:pPr>
        <w:pStyle w:val="3"/>
        <w:spacing w:before="260" w:after="140"/>
        <w:rPr>
          <w:rFonts w:asciiTheme="majorBidi" w:hAnsiTheme="majorBidi" w:cstheme="majorBidi"/>
          <w:sz w:val="32"/>
          <w:szCs w:val="32"/>
        </w:rPr>
      </w:pPr>
      <w:r>
        <w:rPr>
          <w:rFonts w:asciiTheme="majorBidi" w:hAnsiTheme="majorBidi" w:cstheme="majorBidi"/>
          <w:b/>
          <w:bCs/>
          <w:sz w:val="32"/>
          <w:szCs w:val="32"/>
        </w:rPr>
        <w:t>13.3 Cross-Case Comparison</w:t>
      </w:r>
    </w:p>
    <w:p w14:paraId="3AD28132">
      <w:pPr>
        <w:spacing w:before="180" w:after="60"/>
      </w:pPr>
      <w:r>
        <w:rPr>
          <w:b/>
          <w:sz w:val="20"/>
        </w:rPr>
        <w:t>Table 11. Cross-Case Comparison of Coding Dimensions</w:t>
      </w:r>
    </w:p>
    <w:tbl>
      <w:tblPr>
        <w:tblStyle w:val="9"/>
        <w:tblW w:w="8800" w:type="dxa"/>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0"/>
        <w:gridCol w:w="1400"/>
        <w:gridCol w:w="1400"/>
        <w:gridCol w:w="3000"/>
      </w:tblGrid>
      <w:tr w14:paraId="49288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shd w:val="clear" w:color="auto" w:fill="D9E2F3"/>
            <w:tcMar>
              <w:top w:w="90" w:type="dxa"/>
              <w:left w:w="90" w:type="dxa"/>
              <w:bottom w:w="90" w:type="dxa"/>
              <w:right w:w="90" w:type="dxa"/>
            </w:tcMar>
          </w:tcPr>
          <w:p w14:paraId="7B59DF08">
            <w:pPr>
              <w:rPr>
                <w:rFonts w:asciiTheme="majorBidi" w:hAnsiTheme="majorBidi" w:cstheme="majorBidi"/>
                <w:sz w:val="32"/>
                <w:szCs w:val="32"/>
              </w:rPr>
            </w:pPr>
            <w:r>
              <w:rPr>
                <w:rFonts w:asciiTheme="majorBidi" w:hAnsiTheme="majorBidi" w:cstheme="majorBidi"/>
                <w:b/>
                <w:bCs/>
                <w:sz w:val="22"/>
                <w:szCs w:val="22"/>
              </w:rPr>
              <w:t>Coding dimension</w:t>
            </w:r>
          </w:p>
        </w:tc>
        <w:tc>
          <w:tcPr>
            <w:tcW w:w="1400" w:type="dxa"/>
            <w:shd w:val="clear" w:color="auto" w:fill="D9E2F3"/>
            <w:tcMar>
              <w:top w:w="90" w:type="dxa"/>
              <w:left w:w="90" w:type="dxa"/>
              <w:bottom w:w="90" w:type="dxa"/>
              <w:right w:w="90" w:type="dxa"/>
            </w:tcMar>
          </w:tcPr>
          <w:p w14:paraId="105E75CC">
            <w:pPr>
              <w:rPr>
                <w:rFonts w:asciiTheme="majorBidi" w:hAnsiTheme="majorBidi" w:cstheme="majorBidi"/>
                <w:sz w:val="32"/>
                <w:szCs w:val="32"/>
              </w:rPr>
            </w:pPr>
            <w:r>
              <w:rPr>
                <w:rFonts w:asciiTheme="majorBidi" w:hAnsiTheme="majorBidi" w:cstheme="majorBidi"/>
                <w:b/>
                <w:bCs/>
                <w:sz w:val="22"/>
                <w:szCs w:val="22"/>
              </w:rPr>
              <w:t>ICRC</w:t>
            </w:r>
          </w:p>
        </w:tc>
        <w:tc>
          <w:tcPr>
            <w:tcW w:w="1400" w:type="dxa"/>
            <w:shd w:val="clear" w:color="auto" w:fill="D9E2F3"/>
            <w:tcMar>
              <w:top w:w="90" w:type="dxa"/>
              <w:left w:w="90" w:type="dxa"/>
              <w:bottom w:w="90" w:type="dxa"/>
              <w:right w:w="90" w:type="dxa"/>
            </w:tcMar>
          </w:tcPr>
          <w:p w14:paraId="417D538F">
            <w:pPr>
              <w:rPr>
                <w:rFonts w:asciiTheme="majorBidi" w:hAnsiTheme="majorBidi" w:cstheme="majorBidi"/>
                <w:sz w:val="32"/>
                <w:szCs w:val="32"/>
              </w:rPr>
            </w:pPr>
            <w:r>
              <w:rPr>
                <w:rFonts w:asciiTheme="majorBidi" w:hAnsiTheme="majorBidi" w:cstheme="majorBidi"/>
                <w:b/>
                <w:bCs/>
                <w:sz w:val="22"/>
                <w:szCs w:val="22"/>
              </w:rPr>
              <w:t>WFP</w:t>
            </w:r>
          </w:p>
        </w:tc>
        <w:tc>
          <w:tcPr>
            <w:tcW w:w="3000" w:type="dxa"/>
            <w:shd w:val="clear" w:color="auto" w:fill="D9E2F3"/>
            <w:tcMar>
              <w:top w:w="90" w:type="dxa"/>
              <w:left w:w="90" w:type="dxa"/>
              <w:bottom w:w="90" w:type="dxa"/>
              <w:right w:w="90" w:type="dxa"/>
            </w:tcMar>
          </w:tcPr>
          <w:p w14:paraId="7CE62F4C">
            <w:pPr>
              <w:rPr>
                <w:rFonts w:asciiTheme="majorBidi" w:hAnsiTheme="majorBidi" w:cstheme="majorBidi"/>
                <w:sz w:val="32"/>
                <w:szCs w:val="32"/>
              </w:rPr>
            </w:pPr>
            <w:r>
              <w:rPr>
                <w:rFonts w:asciiTheme="majorBidi" w:hAnsiTheme="majorBidi" w:cstheme="majorBidi"/>
                <w:b/>
                <w:bCs/>
                <w:sz w:val="22"/>
                <w:szCs w:val="22"/>
              </w:rPr>
              <w:t>Interpretation (preliminary)</w:t>
            </w:r>
          </w:p>
        </w:tc>
      </w:tr>
      <w:tr w14:paraId="4C26A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Mar>
              <w:top w:w="90" w:type="dxa"/>
              <w:left w:w="90" w:type="dxa"/>
              <w:bottom w:w="90" w:type="dxa"/>
              <w:right w:w="90" w:type="dxa"/>
            </w:tcMar>
          </w:tcPr>
          <w:p w14:paraId="262E645B">
            <w:pPr>
              <w:rPr>
                <w:rFonts w:asciiTheme="majorBidi" w:hAnsiTheme="majorBidi" w:cstheme="majorBidi"/>
                <w:sz w:val="32"/>
                <w:szCs w:val="32"/>
              </w:rPr>
            </w:pPr>
            <w:r>
              <w:rPr>
                <w:rFonts w:asciiTheme="majorBidi" w:hAnsiTheme="majorBidi" w:cstheme="majorBidi"/>
                <w:sz w:val="22"/>
                <w:szCs w:val="22"/>
              </w:rPr>
              <w:t>Crisis acknowledgement</w:t>
            </w:r>
          </w:p>
        </w:tc>
        <w:tc>
          <w:tcPr>
            <w:tcW w:w="1400" w:type="dxa"/>
            <w:tcMar>
              <w:top w:w="90" w:type="dxa"/>
              <w:left w:w="90" w:type="dxa"/>
              <w:bottom w:w="90" w:type="dxa"/>
              <w:right w:w="90" w:type="dxa"/>
            </w:tcMar>
          </w:tcPr>
          <w:p w14:paraId="567B6D9B">
            <w:pPr>
              <w:rPr>
                <w:rFonts w:asciiTheme="majorBidi" w:hAnsiTheme="majorBidi" w:cstheme="majorBidi"/>
                <w:sz w:val="32"/>
                <w:szCs w:val="32"/>
              </w:rPr>
            </w:pPr>
            <w:r>
              <w:rPr>
                <w:rFonts w:asciiTheme="majorBidi" w:hAnsiTheme="majorBidi" w:cstheme="majorBidi"/>
                <w:sz w:val="22"/>
                <w:szCs w:val="22"/>
              </w:rPr>
              <w:t>1</w:t>
            </w:r>
          </w:p>
        </w:tc>
        <w:tc>
          <w:tcPr>
            <w:tcW w:w="1400" w:type="dxa"/>
            <w:tcMar>
              <w:top w:w="90" w:type="dxa"/>
              <w:left w:w="90" w:type="dxa"/>
              <w:bottom w:w="90" w:type="dxa"/>
              <w:right w:w="90" w:type="dxa"/>
            </w:tcMar>
          </w:tcPr>
          <w:p w14:paraId="7AC48C78">
            <w:pPr>
              <w:rPr>
                <w:rFonts w:asciiTheme="majorBidi" w:hAnsiTheme="majorBidi" w:cstheme="majorBidi"/>
                <w:sz w:val="32"/>
                <w:szCs w:val="32"/>
              </w:rPr>
            </w:pPr>
            <w:r>
              <w:rPr>
                <w:rFonts w:asciiTheme="majorBidi" w:hAnsiTheme="majorBidi" w:cstheme="majorBidi"/>
                <w:sz w:val="22"/>
                <w:szCs w:val="22"/>
              </w:rPr>
              <w:t>1</w:t>
            </w:r>
          </w:p>
        </w:tc>
        <w:tc>
          <w:tcPr>
            <w:tcW w:w="3000" w:type="dxa"/>
            <w:tcMar>
              <w:top w:w="90" w:type="dxa"/>
              <w:left w:w="90" w:type="dxa"/>
              <w:bottom w:w="90" w:type="dxa"/>
              <w:right w:w="90" w:type="dxa"/>
            </w:tcMar>
          </w:tcPr>
          <w:p w14:paraId="083C33F4">
            <w:pPr>
              <w:rPr>
                <w:rFonts w:asciiTheme="majorBidi" w:hAnsiTheme="majorBidi" w:cstheme="majorBidi"/>
                <w:sz w:val="32"/>
                <w:szCs w:val="32"/>
              </w:rPr>
            </w:pPr>
            <w:r>
              <w:rPr>
                <w:rFonts w:asciiTheme="majorBidi" w:hAnsiTheme="majorBidi" w:cstheme="majorBidi"/>
                <w:sz w:val="22"/>
                <w:szCs w:val="22"/>
              </w:rPr>
              <w:t>Present in both cases</w:t>
            </w:r>
          </w:p>
        </w:tc>
      </w:tr>
      <w:tr w14:paraId="46153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Mar>
              <w:top w:w="90" w:type="dxa"/>
              <w:left w:w="90" w:type="dxa"/>
              <w:bottom w:w="90" w:type="dxa"/>
              <w:right w:w="90" w:type="dxa"/>
            </w:tcMar>
          </w:tcPr>
          <w:p w14:paraId="0E2DA8A8">
            <w:pPr>
              <w:rPr>
                <w:rFonts w:asciiTheme="majorBidi" w:hAnsiTheme="majorBidi" w:cstheme="majorBidi"/>
                <w:sz w:val="32"/>
                <w:szCs w:val="32"/>
              </w:rPr>
            </w:pPr>
            <w:r>
              <w:rPr>
                <w:rFonts w:asciiTheme="majorBidi" w:hAnsiTheme="majorBidi" w:cstheme="majorBidi"/>
                <w:sz w:val="22"/>
                <w:szCs w:val="22"/>
              </w:rPr>
              <w:t>Impact/scale disclosure</w:t>
            </w:r>
          </w:p>
        </w:tc>
        <w:tc>
          <w:tcPr>
            <w:tcW w:w="1400" w:type="dxa"/>
            <w:tcMar>
              <w:top w:w="90" w:type="dxa"/>
              <w:left w:w="90" w:type="dxa"/>
              <w:bottom w:w="90" w:type="dxa"/>
              <w:right w:w="90" w:type="dxa"/>
            </w:tcMar>
          </w:tcPr>
          <w:p w14:paraId="24D7D488">
            <w:pPr>
              <w:rPr>
                <w:rFonts w:asciiTheme="majorBidi" w:hAnsiTheme="majorBidi" w:cstheme="majorBidi"/>
                <w:sz w:val="32"/>
                <w:szCs w:val="32"/>
              </w:rPr>
            </w:pPr>
            <w:r>
              <w:rPr>
                <w:rFonts w:asciiTheme="majorBidi" w:hAnsiTheme="majorBidi" w:cstheme="majorBidi"/>
                <w:sz w:val="22"/>
                <w:szCs w:val="22"/>
              </w:rPr>
              <w:t>1</w:t>
            </w:r>
          </w:p>
        </w:tc>
        <w:tc>
          <w:tcPr>
            <w:tcW w:w="1400" w:type="dxa"/>
            <w:tcMar>
              <w:top w:w="90" w:type="dxa"/>
              <w:left w:w="90" w:type="dxa"/>
              <w:bottom w:w="90" w:type="dxa"/>
              <w:right w:w="90" w:type="dxa"/>
            </w:tcMar>
          </w:tcPr>
          <w:p w14:paraId="16137ED5">
            <w:pPr>
              <w:rPr>
                <w:rFonts w:asciiTheme="majorBidi" w:hAnsiTheme="majorBidi" w:cstheme="majorBidi"/>
                <w:sz w:val="32"/>
                <w:szCs w:val="32"/>
              </w:rPr>
            </w:pPr>
            <w:r>
              <w:rPr>
                <w:rFonts w:asciiTheme="majorBidi" w:hAnsiTheme="majorBidi" w:cstheme="majorBidi"/>
                <w:sz w:val="22"/>
                <w:szCs w:val="22"/>
              </w:rPr>
              <w:t>1</w:t>
            </w:r>
          </w:p>
        </w:tc>
        <w:tc>
          <w:tcPr>
            <w:tcW w:w="3000" w:type="dxa"/>
            <w:tcMar>
              <w:top w:w="90" w:type="dxa"/>
              <w:left w:w="90" w:type="dxa"/>
              <w:bottom w:w="90" w:type="dxa"/>
              <w:right w:w="90" w:type="dxa"/>
            </w:tcMar>
          </w:tcPr>
          <w:p w14:paraId="4C202437">
            <w:pPr>
              <w:rPr>
                <w:rFonts w:asciiTheme="majorBidi" w:hAnsiTheme="majorBidi" w:cstheme="majorBidi"/>
                <w:sz w:val="32"/>
                <w:szCs w:val="32"/>
              </w:rPr>
            </w:pPr>
            <w:r>
              <w:rPr>
                <w:rFonts w:asciiTheme="majorBidi" w:hAnsiTheme="majorBidi" w:cstheme="majorBidi"/>
                <w:sz w:val="22"/>
                <w:szCs w:val="22"/>
              </w:rPr>
              <w:t>Present in both cases</w:t>
            </w:r>
          </w:p>
        </w:tc>
      </w:tr>
      <w:tr w14:paraId="387C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Mar>
              <w:top w:w="90" w:type="dxa"/>
              <w:left w:w="90" w:type="dxa"/>
              <w:bottom w:w="90" w:type="dxa"/>
              <w:right w:w="90" w:type="dxa"/>
            </w:tcMar>
          </w:tcPr>
          <w:p w14:paraId="61D48B7C">
            <w:pPr>
              <w:rPr>
                <w:rFonts w:asciiTheme="majorBidi" w:hAnsiTheme="majorBidi" w:cstheme="majorBidi"/>
                <w:sz w:val="32"/>
                <w:szCs w:val="32"/>
              </w:rPr>
            </w:pPr>
            <w:r>
              <w:rPr>
                <w:rFonts w:asciiTheme="majorBidi" w:hAnsiTheme="majorBidi" w:cstheme="majorBidi"/>
                <w:sz w:val="22"/>
                <w:szCs w:val="22"/>
              </w:rPr>
              <w:t>Detailed technical explanation</w:t>
            </w:r>
          </w:p>
        </w:tc>
        <w:tc>
          <w:tcPr>
            <w:tcW w:w="1400" w:type="dxa"/>
            <w:tcMar>
              <w:top w:w="90" w:type="dxa"/>
              <w:left w:w="90" w:type="dxa"/>
              <w:bottom w:w="90" w:type="dxa"/>
              <w:right w:w="90" w:type="dxa"/>
            </w:tcMar>
          </w:tcPr>
          <w:p w14:paraId="3AE275D3">
            <w:pPr>
              <w:rPr>
                <w:rFonts w:asciiTheme="majorBidi" w:hAnsiTheme="majorBidi" w:cstheme="majorBidi"/>
                <w:sz w:val="32"/>
                <w:szCs w:val="32"/>
              </w:rPr>
            </w:pPr>
            <w:r>
              <w:rPr>
                <w:rFonts w:asciiTheme="majorBidi" w:hAnsiTheme="majorBidi" w:cstheme="majorBidi"/>
                <w:sz w:val="22"/>
                <w:szCs w:val="22"/>
              </w:rPr>
              <w:t>1</w:t>
            </w:r>
          </w:p>
        </w:tc>
        <w:tc>
          <w:tcPr>
            <w:tcW w:w="1400" w:type="dxa"/>
            <w:tcMar>
              <w:top w:w="90" w:type="dxa"/>
              <w:left w:w="90" w:type="dxa"/>
              <w:bottom w:w="90" w:type="dxa"/>
              <w:right w:w="90" w:type="dxa"/>
            </w:tcMar>
          </w:tcPr>
          <w:p w14:paraId="3032E644">
            <w:pPr>
              <w:rPr>
                <w:rFonts w:asciiTheme="majorBidi" w:hAnsiTheme="majorBidi" w:cstheme="majorBidi"/>
                <w:sz w:val="32"/>
                <w:szCs w:val="32"/>
              </w:rPr>
            </w:pPr>
            <w:r>
              <w:rPr>
                <w:rFonts w:asciiTheme="majorBidi" w:hAnsiTheme="majorBidi" w:cstheme="majorBidi"/>
                <w:sz w:val="22"/>
                <w:szCs w:val="22"/>
              </w:rPr>
              <w:t>NA</w:t>
            </w:r>
          </w:p>
        </w:tc>
        <w:tc>
          <w:tcPr>
            <w:tcW w:w="3000" w:type="dxa"/>
            <w:tcMar>
              <w:top w:w="90" w:type="dxa"/>
              <w:left w:w="90" w:type="dxa"/>
              <w:bottom w:w="90" w:type="dxa"/>
              <w:right w:w="90" w:type="dxa"/>
            </w:tcMar>
          </w:tcPr>
          <w:p w14:paraId="52627FA8">
            <w:pPr>
              <w:rPr>
                <w:rFonts w:asciiTheme="majorBidi" w:hAnsiTheme="majorBidi" w:cstheme="majorBidi"/>
                <w:sz w:val="32"/>
                <w:szCs w:val="32"/>
              </w:rPr>
            </w:pPr>
            <w:r>
              <w:rPr>
                <w:rFonts w:asciiTheme="majorBidi" w:hAnsiTheme="majorBidi" w:cstheme="majorBidi"/>
                <w:sz w:val="22"/>
                <w:szCs w:val="22"/>
              </w:rPr>
              <w:t>More developed in ICRC's available corpus</w:t>
            </w:r>
          </w:p>
        </w:tc>
      </w:tr>
      <w:tr w14:paraId="3855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Mar>
              <w:top w:w="90" w:type="dxa"/>
              <w:left w:w="90" w:type="dxa"/>
              <w:bottom w:w="90" w:type="dxa"/>
              <w:right w:w="90" w:type="dxa"/>
            </w:tcMar>
          </w:tcPr>
          <w:p w14:paraId="0A0D46F8">
            <w:pPr>
              <w:rPr>
                <w:rFonts w:asciiTheme="majorBidi" w:hAnsiTheme="majorBidi" w:cstheme="majorBidi"/>
                <w:sz w:val="32"/>
                <w:szCs w:val="32"/>
              </w:rPr>
            </w:pPr>
            <w:r>
              <w:rPr>
                <w:rFonts w:asciiTheme="majorBidi" w:hAnsiTheme="majorBidi" w:cstheme="majorBidi"/>
                <w:sz w:val="22"/>
                <w:szCs w:val="22"/>
              </w:rPr>
              <w:t>Explicit institutional responsibility framing</w:t>
            </w:r>
          </w:p>
        </w:tc>
        <w:tc>
          <w:tcPr>
            <w:tcW w:w="1400" w:type="dxa"/>
            <w:tcMar>
              <w:top w:w="90" w:type="dxa"/>
              <w:left w:w="90" w:type="dxa"/>
              <w:bottom w:w="90" w:type="dxa"/>
              <w:right w:w="90" w:type="dxa"/>
            </w:tcMar>
          </w:tcPr>
          <w:p w14:paraId="6FA0D16A">
            <w:pPr>
              <w:rPr>
                <w:rFonts w:asciiTheme="majorBidi" w:hAnsiTheme="majorBidi" w:cstheme="majorBidi"/>
                <w:sz w:val="32"/>
                <w:szCs w:val="32"/>
              </w:rPr>
            </w:pPr>
            <w:r>
              <w:rPr>
                <w:rFonts w:asciiTheme="majorBidi" w:hAnsiTheme="majorBidi" w:cstheme="majorBidi"/>
                <w:sz w:val="22"/>
                <w:szCs w:val="22"/>
              </w:rPr>
              <w:t>1</w:t>
            </w:r>
          </w:p>
        </w:tc>
        <w:tc>
          <w:tcPr>
            <w:tcW w:w="1400" w:type="dxa"/>
            <w:tcMar>
              <w:top w:w="90" w:type="dxa"/>
              <w:left w:w="90" w:type="dxa"/>
              <w:bottom w:w="90" w:type="dxa"/>
              <w:right w:w="90" w:type="dxa"/>
            </w:tcMar>
          </w:tcPr>
          <w:p w14:paraId="1549F76C">
            <w:pPr>
              <w:rPr>
                <w:rFonts w:asciiTheme="majorBidi" w:hAnsiTheme="majorBidi" w:cstheme="majorBidi"/>
                <w:sz w:val="32"/>
                <w:szCs w:val="32"/>
              </w:rPr>
            </w:pPr>
            <w:r>
              <w:rPr>
                <w:rFonts w:asciiTheme="majorBidi" w:hAnsiTheme="majorBidi" w:cstheme="majorBidi"/>
                <w:sz w:val="22"/>
                <w:szCs w:val="22"/>
              </w:rPr>
              <w:t>NA</w:t>
            </w:r>
          </w:p>
        </w:tc>
        <w:tc>
          <w:tcPr>
            <w:tcW w:w="3000" w:type="dxa"/>
            <w:tcMar>
              <w:top w:w="90" w:type="dxa"/>
              <w:left w:w="90" w:type="dxa"/>
              <w:bottom w:w="90" w:type="dxa"/>
              <w:right w:w="90" w:type="dxa"/>
            </w:tcMar>
          </w:tcPr>
          <w:p w14:paraId="19DA5B07">
            <w:pPr>
              <w:rPr>
                <w:rFonts w:asciiTheme="majorBidi" w:hAnsiTheme="majorBidi" w:cstheme="majorBidi"/>
                <w:sz w:val="32"/>
                <w:szCs w:val="32"/>
              </w:rPr>
            </w:pPr>
            <w:r>
              <w:rPr>
                <w:rFonts w:asciiTheme="majorBidi" w:hAnsiTheme="majorBidi" w:cstheme="majorBidi"/>
                <w:sz w:val="22"/>
                <w:szCs w:val="22"/>
              </w:rPr>
              <w:t>More explicit in ICRC's available corpus</w:t>
            </w:r>
          </w:p>
        </w:tc>
      </w:tr>
      <w:tr w14:paraId="58258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Mar>
              <w:top w:w="90" w:type="dxa"/>
              <w:left w:w="90" w:type="dxa"/>
              <w:bottom w:w="90" w:type="dxa"/>
              <w:right w:w="90" w:type="dxa"/>
            </w:tcMar>
          </w:tcPr>
          <w:p w14:paraId="6BDA1183">
            <w:pPr>
              <w:rPr>
                <w:rFonts w:asciiTheme="majorBidi" w:hAnsiTheme="majorBidi" w:cstheme="majorBidi"/>
                <w:sz w:val="32"/>
                <w:szCs w:val="32"/>
              </w:rPr>
            </w:pPr>
            <w:r>
              <w:rPr>
                <w:rFonts w:asciiTheme="majorBidi" w:hAnsiTheme="majorBidi" w:cstheme="majorBidi"/>
                <w:sz w:val="22"/>
                <w:szCs w:val="22"/>
              </w:rPr>
              <w:t>Corrective action (containment, hardening)</w:t>
            </w:r>
          </w:p>
        </w:tc>
        <w:tc>
          <w:tcPr>
            <w:tcW w:w="1400" w:type="dxa"/>
            <w:tcMar>
              <w:top w:w="90" w:type="dxa"/>
              <w:left w:w="90" w:type="dxa"/>
              <w:bottom w:w="90" w:type="dxa"/>
              <w:right w:w="90" w:type="dxa"/>
            </w:tcMar>
          </w:tcPr>
          <w:p w14:paraId="6C0BDFD4">
            <w:pPr>
              <w:rPr>
                <w:rFonts w:asciiTheme="majorBidi" w:hAnsiTheme="majorBidi" w:cstheme="majorBidi"/>
                <w:sz w:val="32"/>
                <w:szCs w:val="32"/>
              </w:rPr>
            </w:pPr>
            <w:r>
              <w:rPr>
                <w:rFonts w:asciiTheme="majorBidi" w:hAnsiTheme="majorBidi" w:cstheme="majorBidi"/>
                <w:sz w:val="22"/>
                <w:szCs w:val="22"/>
              </w:rPr>
              <w:t>1</w:t>
            </w:r>
          </w:p>
        </w:tc>
        <w:tc>
          <w:tcPr>
            <w:tcW w:w="1400" w:type="dxa"/>
            <w:tcMar>
              <w:top w:w="90" w:type="dxa"/>
              <w:left w:w="90" w:type="dxa"/>
              <w:bottom w:w="90" w:type="dxa"/>
              <w:right w:w="90" w:type="dxa"/>
            </w:tcMar>
          </w:tcPr>
          <w:p w14:paraId="62137534">
            <w:pPr>
              <w:rPr>
                <w:rFonts w:asciiTheme="majorBidi" w:hAnsiTheme="majorBidi" w:cstheme="majorBidi"/>
                <w:sz w:val="32"/>
                <w:szCs w:val="32"/>
              </w:rPr>
            </w:pPr>
            <w:r>
              <w:rPr>
                <w:rFonts w:asciiTheme="majorBidi" w:hAnsiTheme="majorBidi" w:cstheme="majorBidi"/>
                <w:sz w:val="22"/>
                <w:szCs w:val="22"/>
              </w:rPr>
              <w:t>1</w:t>
            </w:r>
          </w:p>
        </w:tc>
        <w:tc>
          <w:tcPr>
            <w:tcW w:w="3000" w:type="dxa"/>
            <w:tcMar>
              <w:top w:w="90" w:type="dxa"/>
              <w:left w:w="90" w:type="dxa"/>
              <w:bottom w:w="90" w:type="dxa"/>
              <w:right w:w="90" w:type="dxa"/>
            </w:tcMar>
          </w:tcPr>
          <w:p w14:paraId="320FF144">
            <w:pPr>
              <w:rPr>
                <w:rFonts w:asciiTheme="majorBidi" w:hAnsiTheme="majorBidi" w:cstheme="majorBidi"/>
                <w:sz w:val="32"/>
                <w:szCs w:val="32"/>
              </w:rPr>
            </w:pPr>
            <w:r>
              <w:rPr>
                <w:rFonts w:asciiTheme="majorBidi" w:hAnsiTheme="majorBidi" w:cstheme="majorBidi"/>
                <w:sz w:val="22"/>
                <w:szCs w:val="22"/>
              </w:rPr>
              <w:t>Present in both cases</w:t>
            </w:r>
          </w:p>
        </w:tc>
      </w:tr>
      <w:tr w14:paraId="5CDE2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Mar>
              <w:top w:w="90" w:type="dxa"/>
              <w:left w:w="90" w:type="dxa"/>
              <w:bottom w:w="90" w:type="dxa"/>
              <w:right w:w="90" w:type="dxa"/>
            </w:tcMar>
          </w:tcPr>
          <w:p w14:paraId="7E1CC6C2">
            <w:pPr>
              <w:rPr>
                <w:rFonts w:asciiTheme="majorBidi" w:hAnsiTheme="majorBidi" w:cstheme="majorBidi"/>
                <w:sz w:val="32"/>
                <w:szCs w:val="32"/>
              </w:rPr>
            </w:pPr>
            <w:r>
              <w:rPr>
                <w:rFonts w:asciiTheme="majorBidi" w:hAnsiTheme="majorBidi" w:cstheme="majorBidi"/>
                <w:sz w:val="22"/>
                <w:szCs w:val="22"/>
              </w:rPr>
              <w:t>Beneficiary-directed protective guidance</w:t>
            </w:r>
          </w:p>
        </w:tc>
        <w:tc>
          <w:tcPr>
            <w:tcW w:w="1400" w:type="dxa"/>
            <w:tcMar>
              <w:top w:w="90" w:type="dxa"/>
              <w:left w:w="90" w:type="dxa"/>
              <w:bottom w:w="90" w:type="dxa"/>
              <w:right w:w="90" w:type="dxa"/>
            </w:tcMar>
          </w:tcPr>
          <w:p w14:paraId="0B5DA579">
            <w:pPr>
              <w:rPr>
                <w:rFonts w:asciiTheme="majorBidi" w:hAnsiTheme="majorBidi" w:cstheme="majorBidi"/>
                <w:sz w:val="32"/>
                <w:szCs w:val="32"/>
              </w:rPr>
            </w:pPr>
            <w:r>
              <w:rPr>
                <w:rFonts w:asciiTheme="majorBidi" w:hAnsiTheme="majorBidi" w:cstheme="majorBidi"/>
                <w:sz w:val="22"/>
                <w:szCs w:val="22"/>
              </w:rPr>
              <w:t>1</w:t>
            </w:r>
          </w:p>
        </w:tc>
        <w:tc>
          <w:tcPr>
            <w:tcW w:w="1400" w:type="dxa"/>
            <w:tcMar>
              <w:top w:w="90" w:type="dxa"/>
              <w:left w:w="90" w:type="dxa"/>
              <w:bottom w:w="90" w:type="dxa"/>
              <w:right w:w="90" w:type="dxa"/>
            </w:tcMar>
          </w:tcPr>
          <w:p w14:paraId="624FAB0F">
            <w:pPr>
              <w:rPr>
                <w:rFonts w:asciiTheme="majorBidi" w:hAnsiTheme="majorBidi" w:cstheme="majorBidi"/>
                <w:sz w:val="32"/>
                <w:szCs w:val="32"/>
              </w:rPr>
            </w:pPr>
            <w:r>
              <w:rPr>
                <w:rFonts w:asciiTheme="majorBidi" w:hAnsiTheme="majorBidi" w:cstheme="majorBidi"/>
                <w:sz w:val="22"/>
                <w:szCs w:val="22"/>
              </w:rPr>
              <w:t>1</w:t>
            </w:r>
          </w:p>
        </w:tc>
        <w:tc>
          <w:tcPr>
            <w:tcW w:w="3000" w:type="dxa"/>
            <w:tcMar>
              <w:top w:w="90" w:type="dxa"/>
              <w:left w:w="90" w:type="dxa"/>
              <w:bottom w:w="90" w:type="dxa"/>
              <w:right w:w="90" w:type="dxa"/>
            </w:tcMar>
          </w:tcPr>
          <w:p w14:paraId="083E1CF3">
            <w:pPr>
              <w:rPr>
                <w:rFonts w:asciiTheme="majorBidi" w:hAnsiTheme="majorBidi" w:cstheme="majorBidi"/>
                <w:sz w:val="32"/>
                <w:szCs w:val="32"/>
              </w:rPr>
            </w:pPr>
            <w:r>
              <w:rPr>
                <w:rFonts w:asciiTheme="majorBidi" w:hAnsiTheme="majorBidi" w:cstheme="majorBidi"/>
                <w:sz w:val="22"/>
                <w:szCs w:val="22"/>
              </w:rPr>
              <w:t>Present in both cases</w:t>
            </w:r>
          </w:p>
        </w:tc>
      </w:tr>
      <w:tr w14:paraId="5D1F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Mar>
              <w:top w:w="90" w:type="dxa"/>
              <w:left w:w="90" w:type="dxa"/>
              <w:bottom w:w="90" w:type="dxa"/>
              <w:right w:w="90" w:type="dxa"/>
            </w:tcMar>
          </w:tcPr>
          <w:p w14:paraId="2B90C051">
            <w:pPr>
              <w:rPr>
                <w:rFonts w:asciiTheme="majorBidi" w:hAnsiTheme="majorBidi" w:cstheme="majorBidi"/>
                <w:sz w:val="32"/>
                <w:szCs w:val="32"/>
              </w:rPr>
            </w:pPr>
            <w:r>
              <w:rPr>
                <w:rFonts w:asciiTheme="majorBidi" w:hAnsiTheme="majorBidi" w:cstheme="majorBidi"/>
                <w:sz w:val="22"/>
                <w:szCs w:val="22"/>
              </w:rPr>
              <w:t>Direct beneficiary notification channel</w:t>
            </w:r>
          </w:p>
        </w:tc>
        <w:tc>
          <w:tcPr>
            <w:tcW w:w="1400" w:type="dxa"/>
            <w:tcMar>
              <w:top w:w="90" w:type="dxa"/>
              <w:left w:w="90" w:type="dxa"/>
              <w:bottom w:w="90" w:type="dxa"/>
              <w:right w:w="90" w:type="dxa"/>
            </w:tcMar>
          </w:tcPr>
          <w:p w14:paraId="5644BF47">
            <w:pPr>
              <w:rPr>
                <w:rFonts w:asciiTheme="majorBidi" w:hAnsiTheme="majorBidi" w:cstheme="majorBidi"/>
                <w:sz w:val="32"/>
                <w:szCs w:val="32"/>
              </w:rPr>
            </w:pPr>
            <w:r>
              <w:rPr>
                <w:rFonts w:asciiTheme="majorBidi" w:hAnsiTheme="majorBidi" w:cstheme="majorBidi"/>
                <w:sz w:val="22"/>
                <w:szCs w:val="22"/>
              </w:rPr>
              <w:t>1</w:t>
            </w:r>
          </w:p>
        </w:tc>
        <w:tc>
          <w:tcPr>
            <w:tcW w:w="1400" w:type="dxa"/>
            <w:tcMar>
              <w:top w:w="90" w:type="dxa"/>
              <w:left w:w="90" w:type="dxa"/>
              <w:bottom w:w="90" w:type="dxa"/>
              <w:right w:w="90" w:type="dxa"/>
            </w:tcMar>
          </w:tcPr>
          <w:p w14:paraId="18850D4F">
            <w:pPr>
              <w:rPr>
                <w:rFonts w:asciiTheme="majorBidi" w:hAnsiTheme="majorBidi" w:cstheme="majorBidi"/>
                <w:sz w:val="32"/>
                <w:szCs w:val="32"/>
              </w:rPr>
            </w:pPr>
            <w:r>
              <w:rPr>
                <w:rFonts w:asciiTheme="majorBidi" w:hAnsiTheme="majorBidi" w:cstheme="majorBidi"/>
                <w:sz w:val="22"/>
                <w:szCs w:val="22"/>
              </w:rPr>
              <w:t>1</w:t>
            </w:r>
          </w:p>
        </w:tc>
        <w:tc>
          <w:tcPr>
            <w:tcW w:w="3000" w:type="dxa"/>
            <w:tcMar>
              <w:top w:w="90" w:type="dxa"/>
              <w:left w:w="90" w:type="dxa"/>
              <w:bottom w:w="90" w:type="dxa"/>
              <w:right w:w="90" w:type="dxa"/>
            </w:tcMar>
          </w:tcPr>
          <w:p w14:paraId="0EEB11DE">
            <w:pPr>
              <w:rPr>
                <w:rFonts w:asciiTheme="majorBidi" w:hAnsiTheme="majorBidi" w:cstheme="majorBidi"/>
                <w:sz w:val="32"/>
                <w:szCs w:val="32"/>
              </w:rPr>
            </w:pPr>
            <w:r>
              <w:rPr>
                <w:rFonts w:asciiTheme="majorBidi" w:hAnsiTheme="majorBidi" w:cstheme="majorBidi"/>
                <w:sz w:val="22"/>
                <w:szCs w:val="22"/>
              </w:rPr>
              <w:t>ICRC: multi-channel outreach; WFP: Telegram/email</w:t>
            </w:r>
          </w:p>
        </w:tc>
      </w:tr>
      <w:tr w14:paraId="69EB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Mar>
              <w:top w:w="90" w:type="dxa"/>
              <w:left w:w="90" w:type="dxa"/>
              <w:bottom w:w="90" w:type="dxa"/>
              <w:right w:w="90" w:type="dxa"/>
            </w:tcMar>
          </w:tcPr>
          <w:p w14:paraId="4ED782B5">
            <w:pPr>
              <w:rPr>
                <w:rFonts w:asciiTheme="majorBidi" w:hAnsiTheme="majorBidi" w:cstheme="majorBidi"/>
                <w:sz w:val="32"/>
                <w:szCs w:val="32"/>
              </w:rPr>
            </w:pPr>
            <w:r>
              <w:rPr>
                <w:rFonts w:asciiTheme="majorBidi" w:hAnsiTheme="majorBidi" w:cstheme="majorBidi"/>
                <w:sz w:val="22"/>
                <w:szCs w:val="22"/>
              </w:rPr>
              <w:t>Service/mission continuity assurance</w:t>
            </w:r>
          </w:p>
        </w:tc>
        <w:tc>
          <w:tcPr>
            <w:tcW w:w="1400" w:type="dxa"/>
            <w:tcMar>
              <w:top w:w="90" w:type="dxa"/>
              <w:left w:w="90" w:type="dxa"/>
              <w:bottom w:w="90" w:type="dxa"/>
              <w:right w:w="90" w:type="dxa"/>
            </w:tcMar>
          </w:tcPr>
          <w:p w14:paraId="153A9949">
            <w:pPr>
              <w:rPr>
                <w:rFonts w:asciiTheme="majorBidi" w:hAnsiTheme="majorBidi" w:cstheme="majorBidi"/>
                <w:sz w:val="32"/>
                <w:szCs w:val="32"/>
              </w:rPr>
            </w:pPr>
            <w:r>
              <w:rPr>
                <w:rFonts w:asciiTheme="majorBidi" w:hAnsiTheme="majorBidi" w:cstheme="majorBidi"/>
                <w:sz w:val="22"/>
                <w:szCs w:val="22"/>
              </w:rPr>
              <w:t>1</w:t>
            </w:r>
          </w:p>
        </w:tc>
        <w:tc>
          <w:tcPr>
            <w:tcW w:w="1400" w:type="dxa"/>
            <w:tcMar>
              <w:top w:w="90" w:type="dxa"/>
              <w:left w:w="90" w:type="dxa"/>
              <w:bottom w:w="90" w:type="dxa"/>
              <w:right w:w="90" w:type="dxa"/>
            </w:tcMar>
          </w:tcPr>
          <w:p w14:paraId="1A77B4B9">
            <w:pPr>
              <w:rPr>
                <w:rFonts w:asciiTheme="majorBidi" w:hAnsiTheme="majorBidi" w:cstheme="majorBidi"/>
                <w:sz w:val="32"/>
                <w:szCs w:val="32"/>
              </w:rPr>
            </w:pPr>
            <w:r>
              <w:rPr>
                <w:rFonts w:asciiTheme="majorBidi" w:hAnsiTheme="majorBidi" w:cstheme="majorBidi"/>
                <w:sz w:val="22"/>
                <w:szCs w:val="22"/>
              </w:rPr>
              <w:t>1</w:t>
            </w:r>
          </w:p>
        </w:tc>
        <w:tc>
          <w:tcPr>
            <w:tcW w:w="3000" w:type="dxa"/>
            <w:tcMar>
              <w:top w:w="90" w:type="dxa"/>
              <w:left w:w="90" w:type="dxa"/>
              <w:bottom w:w="90" w:type="dxa"/>
              <w:right w:w="90" w:type="dxa"/>
            </w:tcMar>
          </w:tcPr>
          <w:p w14:paraId="7BBD0DFF">
            <w:pPr>
              <w:rPr>
                <w:rFonts w:asciiTheme="majorBidi" w:hAnsiTheme="majorBidi" w:cstheme="majorBidi"/>
                <w:sz w:val="32"/>
                <w:szCs w:val="32"/>
              </w:rPr>
            </w:pPr>
            <w:r>
              <w:rPr>
                <w:rFonts w:asciiTheme="majorBidi" w:hAnsiTheme="majorBidi" w:cstheme="majorBidi"/>
                <w:sz w:val="22"/>
                <w:szCs w:val="22"/>
              </w:rPr>
              <w:t>Central to both cases</w:t>
            </w:r>
          </w:p>
        </w:tc>
      </w:tr>
      <w:tr w14:paraId="7669E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Mar>
              <w:top w:w="90" w:type="dxa"/>
              <w:left w:w="90" w:type="dxa"/>
              <w:bottom w:w="90" w:type="dxa"/>
              <w:right w:w="90" w:type="dxa"/>
            </w:tcMar>
          </w:tcPr>
          <w:p w14:paraId="79867FBE">
            <w:pPr>
              <w:rPr>
                <w:rFonts w:asciiTheme="majorBidi" w:hAnsiTheme="majorBidi" w:cstheme="majorBidi"/>
                <w:sz w:val="32"/>
                <w:szCs w:val="32"/>
              </w:rPr>
            </w:pPr>
            <w:r>
              <w:rPr>
                <w:rFonts w:asciiTheme="majorBidi" w:hAnsiTheme="majorBidi" w:cstheme="majorBidi"/>
                <w:sz w:val="22"/>
                <w:szCs w:val="22"/>
              </w:rPr>
              <w:t>Protection-based limits on disclosure</w:t>
            </w:r>
          </w:p>
        </w:tc>
        <w:tc>
          <w:tcPr>
            <w:tcW w:w="1400" w:type="dxa"/>
            <w:tcMar>
              <w:top w:w="90" w:type="dxa"/>
              <w:left w:w="90" w:type="dxa"/>
              <w:bottom w:w="90" w:type="dxa"/>
              <w:right w:w="90" w:type="dxa"/>
            </w:tcMar>
          </w:tcPr>
          <w:p w14:paraId="0BAA419A">
            <w:pPr>
              <w:rPr>
                <w:rFonts w:asciiTheme="majorBidi" w:hAnsiTheme="majorBidi" w:cstheme="majorBidi"/>
                <w:sz w:val="32"/>
                <w:szCs w:val="32"/>
              </w:rPr>
            </w:pPr>
            <w:r>
              <w:rPr>
                <w:rFonts w:asciiTheme="majorBidi" w:hAnsiTheme="majorBidi" w:cstheme="majorBidi"/>
                <w:sz w:val="22"/>
                <w:szCs w:val="22"/>
              </w:rPr>
              <w:t>1</w:t>
            </w:r>
          </w:p>
        </w:tc>
        <w:tc>
          <w:tcPr>
            <w:tcW w:w="1400" w:type="dxa"/>
            <w:tcMar>
              <w:top w:w="90" w:type="dxa"/>
              <w:left w:w="90" w:type="dxa"/>
              <w:bottom w:w="90" w:type="dxa"/>
              <w:right w:w="90" w:type="dxa"/>
            </w:tcMar>
          </w:tcPr>
          <w:p w14:paraId="17A88865">
            <w:pPr>
              <w:rPr>
                <w:rFonts w:asciiTheme="majorBidi" w:hAnsiTheme="majorBidi" w:cstheme="majorBidi"/>
                <w:sz w:val="32"/>
                <w:szCs w:val="32"/>
              </w:rPr>
            </w:pPr>
            <w:r>
              <w:rPr>
                <w:rFonts w:asciiTheme="majorBidi" w:hAnsiTheme="majorBidi" w:cstheme="majorBidi"/>
                <w:sz w:val="22"/>
                <w:szCs w:val="22"/>
              </w:rPr>
              <w:t>NA</w:t>
            </w:r>
          </w:p>
        </w:tc>
        <w:tc>
          <w:tcPr>
            <w:tcW w:w="3000" w:type="dxa"/>
            <w:tcMar>
              <w:top w:w="90" w:type="dxa"/>
              <w:left w:w="90" w:type="dxa"/>
              <w:bottom w:w="90" w:type="dxa"/>
              <w:right w:w="90" w:type="dxa"/>
            </w:tcMar>
          </w:tcPr>
          <w:p w14:paraId="1B5EA790">
            <w:pPr>
              <w:rPr>
                <w:rFonts w:asciiTheme="majorBidi" w:hAnsiTheme="majorBidi" w:cstheme="majorBidi"/>
                <w:sz w:val="32"/>
                <w:szCs w:val="32"/>
              </w:rPr>
            </w:pPr>
            <w:r>
              <w:rPr>
                <w:rFonts w:asciiTheme="majorBidi" w:hAnsiTheme="majorBidi" w:cstheme="majorBidi"/>
                <w:sz w:val="22"/>
                <w:szCs w:val="22"/>
              </w:rPr>
              <w:t>Explicitly documented for ICRC; not yet evidenced for WFP</w:t>
            </w:r>
          </w:p>
        </w:tc>
      </w:tr>
      <w:tr w14:paraId="0E02F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Mar>
              <w:top w:w="90" w:type="dxa"/>
              <w:left w:w="90" w:type="dxa"/>
              <w:bottom w:w="90" w:type="dxa"/>
              <w:right w:w="90" w:type="dxa"/>
            </w:tcMar>
          </w:tcPr>
          <w:p w14:paraId="015168AA">
            <w:pPr>
              <w:rPr>
                <w:rFonts w:asciiTheme="majorBidi" w:hAnsiTheme="majorBidi" w:cstheme="majorBidi"/>
                <w:sz w:val="32"/>
                <w:szCs w:val="32"/>
              </w:rPr>
            </w:pPr>
            <w:r>
              <w:rPr>
                <w:rFonts w:asciiTheme="majorBidi" w:hAnsiTheme="majorBidi" w:cstheme="majorBidi"/>
                <w:sz w:val="22"/>
                <w:szCs w:val="22"/>
              </w:rPr>
              <w:t>Anti-fraud/impersonation guidance</w:t>
            </w:r>
          </w:p>
        </w:tc>
        <w:tc>
          <w:tcPr>
            <w:tcW w:w="1400" w:type="dxa"/>
            <w:tcMar>
              <w:top w:w="90" w:type="dxa"/>
              <w:left w:w="90" w:type="dxa"/>
              <w:bottom w:w="90" w:type="dxa"/>
              <w:right w:w="90" w:type="dxa"/>
            </w:tcMar>
          </w:tcPr>
          <w:p w14:paraId="03FD0DBE">
            <w:pPr>
              <w:rPr>
                <w:rFonts w:asciiTheme="majorBidi" w:hAnsiTheme="majorBidi" w:cstheme="majorBidi"/>
                <w:sz w:val="32"/>
                <w:szCs w:val="32"/>
              </w:rPr>
            </w:pPr>
            <w:r>
              <w:rPr>
                <w:rFonts w:asciiTheme="majorBidi" w:hAnsiTheme="majorBidi" w:cstheme="majorBidi"/>
                <w:sz w:val="22"/>
                <w:szCs w:val="22"/>
              </w:rPr>
              <w:t>NA</w:t>
            </w:r>
          </w:p>
        </w:tc>
        <w:tc>
          <w:tcPr>
            <w:tcW w:w="1400" w:type="dxa"/>
            <w:tcMar>
              <w:top w:w="90" w:type="dxa"/>
              <w:left w:w="90" w:type="dxa"/>
              <w:bottom w:w="90" w:type="dxa"/>
              <w:right w:w="90" w:type="dxa"/>
            </w:tcMar>
          </w:tcPr>
          <w:p w14:paraId="43765C9E">
            <w:pPr>
              <w:rPr>
                <w:rFonts w:asciiTheme="majorBidi" w:hAnsiTheme="majorBidi" w:cstheme="majorBidi"/>
                <w:sz w:val="32"/>
                <w:szCs w:val="32"/>
              </w:rPr>
            </w:pPr>
            <w:r>
              <w:rPr>
                <w:rFonts w:asciiTheme="majorBidi" w:hAnsiTheme="majorBidi" w:cstheme="majorBidi"/>
                <w:sz w:val="22"/>
                <w:szCs w:val="22"/>
              </w:rPr>
              <w:t>1</w:t>
            </w:r>
          </w:p>
        </w:tc>
        <w:tc>
          <w:tcPr>
            <w:tcW w:w="3000" w:type="dxa"/>
            <w:tcMar>
              <w:top w:w="90" w:type="dxa"/>
              <w:left w:w="90" w:type="dxa"/>
              <w:bottom w:w="90" w:type="dxa"/>
              <w:right w:w="90" w:type="dxa"/>
            </w:tcMar>
          </w:tcPr>
          <w:p w14:paraId="1D3428B5">
            <w:pPr>
              <w:rPr>
                <w:rFonts w:asciiTheme="majorBidi" w:hAnsiTheme="majorBidi" w:cstheme="majorBidi"/>
                <w:sz w:val="32"/>
                <w:szCs w:val="32"/>
              </w:rPr>
            </w:pPr>
            <w:r>
              <w:rPr>
                <w:rFonts w:asciiTheme="majorBidi" w:hAnsiTheme="majorBidi" w:cstheme="majorBidi"/>
                <w:sz w:val="22"/>
                <w:szCs w:val="22"/>
              </w:rPr>
              <w:t>More explicit in WFP's available corpus</w:t>
            </w:r>
          </w:p>
        </w:tc>
      </w:tr>
      <w:tr w14:paraId="0CE0D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Mar>
              <w:top w:w="90" w:type="dxa"/>
              <w:left w:w="90" w:type="dxa"/>
              <w:bottom w:w="90" w:type="dxa"/>
              <w:right w:w="90" w:type="dxa"/>
            </w:tcMar>
          </w:tcPr>
          <w:p w14:paraId="3B6B7AEE">
            <w:pPr>
              <w:rPr>
                <w:rFonts w:asciiTheme="majorBidi" w:hAnsiTheme="majorBidi" w:cstheme="majorBidi"/>
                <w:sz w:val="32"/>
                <w:szCs w:val="32"/>
              </w:rPr>
            </w:pPr>
            <w:r>
              <w:rPr>
                <w:rFonts w:asciiTheme="majorBidi" w:hAnsiTheme="majorBidi" w:cstheme="majorBidi"/>
                <w:sz w:val="22"/>
                <w:szCs w:val="22"/>
              </w:rPr>
              <w:t>Extended longitudinal follow-up</w:t>
            </w:r>
          </w:p>
        </w:tc>
        <w:tc>
          <w:tcPr>
            <w:tcW w:w="1400" w:type="dxa"/>
            <w:tcMar>
              <w:top w:w="90" w:type="dxa"/>
              <w:left w:w="90" w:type="dxa"/>
              <w:bottom w:w="90" w:type="dxa"/>
              <w:right w:w="90" w:type="dxa"/>
            </w:tcMar>
          </w:tcPr>
          <w:p w14:paraId="025EF1BB">
            <w:pPr>
              <w:rPr>
                <w:rFonts w:asciiTheme="majorBidi" w:hAnsiTheme="majorBidi" w:cstheme="majorBidi"/>
                <w:sz w:val="32"/>
                <w:szCs w:val="32"/>
              </w:rPr>
            </w:pPr>
            <w:r>
              <w:rPr>
                <w:rFonts w:asciiTheme="majorBidi" w:hAnsiTheme="majorBidi" w:cstheme="majorBidi"/>
                <w:sz w:val="22"/>
                <w:szCs w:val="22"/>
              </w:rPr>
              <w:t>1</w:t>
            </w:r>
          </w:p>
        </w:tc>
        <w:tc>
          <w:tcPr>
            <w:tcW w:w="1400" w:type="dxa"/>
            <w:tcMar>
              <w:top w:w="90" w:type="dxa"/>
              <w:left w:w="90" w:type="dxa"/>
              <w:bottom w:w="90" w:type="dxa"/>
              <w:right w:w="90" w:type="dxa"/>
            </w:tcMar>
          </w:tcPr>
          <w:p w14:paraId="129E4271">
            <w:pPr>
              <w:rPr>
                <w:rFonts w:asciiTheme="majorBidi" w:hAnsiTheme="majorBidi" w:cstheme="majorBidi"/>
                <w:sz w:val="32"/>
                <w:szCs w:val="32"/>
              </w:rPr>
            </w:pPr>
            <w:r>
              <w:rPr>
                <w:rFonts w:asciiTheme="majorBidi" w:hAnsiTheme="majorBidi" w:cstheme="majorBidi"/>
                <w:sz w:val="22"/>
                <w:szCs w:val="22"/>
              </w:rPr>
              <w:t>1 (with an ~8-week gap, 2 Jun-29 Jul)</w:t>
            </w:r>
          </w:p>
        </w:tc>
        <w:tc>
          <w:tcPr>
            <w:tcW w:w="3000" w:type="dxa"/>
            <w:tcMar>
              <w:top w:w="90" w:type="dxa"/>
              <w:left w:w="90" w:type="dxa"/>
              <w:bottom w:w="90" w:type="dxa"/>
              <w:right w:w="90" w:type="dxa"/>
            </w:tcMar>
          </w:tcPr>
          <w:p w14:paraId="5CFE70BD">
            <w:pPr>
              <w:rPr>
                <w:rFonts w:asciiTheme="majorBidi" w:hAnsiTheme="majorBidi" w:cstheme="majorBidi"/>
                <w:sz w:val="32"/>
                <w:szCs w:val="32"/>
              </w:rPr>
            </w:pPr>
            <w:r>
              <w:rPr>
                <w:rFonts w:asciiTheme="majorBidi" w:hAnsiTheme="majorBidi" w:cstheme="majorBidi"/>
                <w:sz w:val="22"/>
                <w:szCs w:val="22"/>
              </w:rPr>
              <w:t>Both now span multiple months; WFP shows a documented silence interval</w:t>
            </w:r>
          </w:p>
        </w:tc>
      </w:tr>
      <w:tr w14:paraId="6CF11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Mar>
              <w:top w:w="90" w:type="dxa"/>
              <w:left w:w="90" w:type="dxa"/>
              <w:bottom w:w="90" w:type="dxa"/>
              <w:right w:w="90" w:type="dxa"/>
            </w:tcMar>
          </w:tcPr>
          <w:p w14:paraId="1768EC91">
            <w:pPr>
              <w:rPr>
                <w:rFonts w:asciiTheme="majorBidi" w:hAnsiTheme="majorBidi" w:cstheme="majorBidi"/>
                <w:sz w:val="32"/>
                <w:szCs w:val="32"/>
              </w:rPr>
            </w:pPr>
            <w:r>
              <w:rPr>
                <w:rFonts w:asciiTheme="majorBidi" w:hAnsiTheme="majorBidi" w:cstheme="majorBidi"/>
                <w:sz w:val="22"/>
                <w:szCs w:val="22"/>
              </w:rPr>
              <w:t>Explicit protection rationale for withheld disclosure</w:t>
            </w:r>
          </w:p>
        </w:tc>
        <w:tc>
          <w:tcPr>
            <w:tcW w:w="1400" w:type="dxa"/>
            <w:tcMar>
              <w:top w:w="90" w:type="dxa"/>
              <w:left w:w="90" w:type="dxa"/>
              <w:bottom w:w="90" w:type="dxa"/>
              <w:right w:w="90" w:type="dxa"/>
            </w:tcMar>
          </w:tcPr>
          <w:p w14:paraId="1A5F4653">
            <w:pPr>
              <w:rPr>
                <w:rFonts w:asciiTheme="majorBidi" w:hAnsiTheme="majorBidi" w:cstheme="majorBidi"/>
                <w:sz w:val="32"/>
                <w:szCs w:val="32"/>
              </w:rPr>
            </w:pPr>
            <w:r>
              <w:rPr>
                <w:rFonts w:asciiTheme="majorBidi" w:hAnsiTheme="majorBidi" w:cstheme="majorBidi"/>
                <w:sz w:val="22"/>
                <w:szCs w:val="22"/>
              </w:rPr>
              <w:t>1</w:t>
            </w:r>
          </w:p>
        </w:tc>
        <w:tc>
          <w:tcPr>
            <w:tcW w:w="1400" w:type="dxa"/>
            <w:tcMar>
              <w:top w:w="90" w:type="dxa"/>
              <w:left w:w="90" w:type="dxa"/>
              <w:bottom w:w="90" w:type="dxa"/>
              <w:right w:w="90" w:type="dxa"/>
            </w:tcMar>
          </w:tcPr>
          <w:p w14:paraId="78EEE952">
            <w:pPr>
              <w:rPr>
                <w:rFonts w:asciiTheme="majorBidi" w:hAnsiTheme="majorBidi" w:cstheme="majorBidi"/>
                <w:sz w:val="32"/>
                <w:szCs w:val="32"/>
              </w:rPr>
            </w:pPr>
            <w:r>
              <w:rPr>
                <w:rFonts w:asciiTheme="majorBidi" w:hAnsiTheme="majorBidi" w:cstheme="majorBidi"/>
                <w:sz w:val="22"/>
                <w:szCs w:val="22"/>
              </w:rPr>
              <w:t>0</w:t>
            </w:r>
          </w:p>
        </w:tc>
        <w:tc>
          <w:tcPr>
            <w:tcW w:w="3000" w:type="dxa"/>
            <w:tcMar>
              <w:top w:w="90" w:type="dxa"/>
              <w:left w:w="90" w:type="dxa"/>
              <w:bottom w:w="90" w:type="dxa"/>
              <w:right w:w="90" w:type="dxa"/>
            </w:tcMar>
          </w:tcPr>
          <w:p w14:paraId="0B7866BF">
            <w:pPr>
              <w:rPr>
                <w:rFonts w:asciiTheme="majorBidi" w:hAnsiTheme="majorBidi" w:cstheme="majorBidi"/>
                <w:sz w:val="32"/>
                <w:szCs w:val="32"/>
              </w:rPr>
            </w:pPr>
            <w:r>
              <w:rPr>
                <w:rFonts w:asciiTheme="majorBidi" w:hAnsiTheme="majorBidi" w:cstheme="majorBidi"/>
                <w:sz w:val="22"/>
                <w:szCs w:val="22"/>
              </w:rPr>
              <w:t>ICRC states a rationale for non-disclosure; internal WFP guidance instructs staff to avoid technical explanation without stating a protective rationale, and this omission is explicitly criticized by external stakeholders</w:t>
            </w:r>
          </w:p>
        </w:tc>
      </w:tr>
    </w:tbl>
    <w:p w14:paraId="0028341F">
      <w:pPr>
        <w:spacing w:before="60" w:after="180"/>
      </w:pPr>
      <w:r>
        <w:rPr>
          <w:i/>
          <w:sz w:val="18"/>
        </w:rPr>
        <w:t>Source: Author's own analysis based on the Master Coding Matrix (Supplementary Tables S3-S4) and Evidence Corpus (Tables 7-8).</w:t>
      </w:r>
    </w:p>
    <w:p w14:paraId="10CF1B94">
      <w:pPr>
        <w:spacing w:after="200" w:line="360" w:lineRule="auto"/>
        <w:jc w:val="both"/>
        <w:rPr>
          <w:rFonts w:asciiTheme="majorBidi" w:hAnsiTheme="majorBidi" w:cstheme="majorBidi"/>
          <w:sz w:val="32"/>
          <w:szCs w:val="32"/>
        </w:rPr>
      </w:pPr>
      <w:r>
        <w:rPr>
          <w:rFonts w:asciiTheme="majorBidi" w:hAnsiTheme="majorBidi" w:cstheme="majorBidi"/>
          <w:sz w:val="32"/>
          <w:szCs w:val="32"/>
        </w:rPr>
        <w:t xml:space="preserve"> </w:t>
      </w:r>
    </w:p>
    <w:p w14:paraId="5FDF5186">
      <w:pPr>
        <w:spacing w:after="200" w:line="360" w:lineRule="auto"/>
        <w:jc w:val="both"/>
        <w:rPr>
          <w:rFonts w:asciiTheme="majorBidi" w:hAnsiTheme="majorBidi" w:cstheme="majorBidi"/>
          <w:sz w:val="32"/>
          <w:szCs w:val="32"/>
        </w:rPr>
      </w:pPr>
      <w:r>
        <w:rPr>
          <w:rFonts w:asciiTheme="majorBidi" w:hAnsiTheme="majorBidi" w:cstheme="majorBidi"/>
          <w:sz w:val="32"/>
          <w:szCs w:val="32"/>
        </w:rPr>
        <w:t>The comparative evidence indicates that both organizations employed a shared core sequence - acknowledgement, containment, corrective action, beneficiary guidance, and continuity assurance - while differing in dominant orientation and in the treatment of disclosure limits specifically. The two cases suggest an accountability- and explanation-centered pattern in the ICRC corpus, paired with an explicitly justified boundary on disclosure, and a continuity- and control-centered pattern in the WFP corpus, in which disclosure limits are documented but not accompanied by a stated protective rationale and have been explicitly contested by external stakeholders as unjustified. This distinction is now grounded in nine weeks of WFP corpus observation (31 May-29 July 2026) rather than an initial nine-day window, and is treated as a provisional finding pending closure of the full corpus.</w:t>
      </w:r>
    </w:p>
    <w:p w14:paraId="0B3F6CDA">
      <w:pPr>
        <w:pStyle w:val="2"/>
        <w:spacing w:before="360" w:after="160"/>
        <w:rPr>
          <w:rFonts w:asciiTheme="majorBidi" w:hAnsiTheme="majorBidi" w:cstheme="majorBidi"/>
          <w:sz w:val="40"/>
          <w:szCs w:val="40"/>
        </w:rPr>
      </w:pPr>
      <w:r>
        <w:rPr>
          <w:rFonts w:asciiTheme="majorBidi" w:hAnsiTheme="majorBidi" w:cstheme="majorBidi"/>
          <w:b/>
          <w:bCs/>
          <w:sz w:val="36"/>
          <w:szCs w:val="36"/>
        </w:rPr>
        <w:t>14. Discussion</w:t>
      </w:r>
      <w:r>
        <w:rPr>
          <w:rFonts w:asciiTheme="majorBidi" w:hAnsiTheme="majorBidi" w:cstheme="majorBidi"/>
          <w:sz w:val="40"/>
          <w:szCs w:val="40"/>
        </w:rPr>
        <w:drawing>
          <wp:inline distT="0" distB="0" distL="0" distR="0">
            <wp:extent cx="5882640" cy="3246120"/>
            <wp:effectExtent l="0" t="0" r="3810" b="0"/>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6"/>
                    <pic:cNvPicPr>
                      <a:picLocks noChangeAspect="1"/>
                    </pic:cNvPicPr>
                  </pic:nvPicPr>
                  <pic:blipFill>
                    <a:blip r:embed="rId7" cstate="print">
                      <a:extLst>
                        <a:ext uri="{28A0092B-C50C-407E-A947-70E740481C1C}">
                          <a14:useLocalDpi xmlns:a14="http://schemas.microsoft.com/office/drawing/2010/main" val="0"/>
                        </a:ext>
                      </a:extLst>
                    </a:blip>
                    <a:srcRect r="949" b="2069"/>
                    <a:stretch>
                      <a:fillRect/>
                    </a:stretch>
                  </pic:blipFill>
                  <pic:spPr>
                    <a:xfrm>
                      <a:off x="0" y="0"/>
                      <a:ext cx="5887148" cy="3248607"/>
                    </a:xfrm>
                    <a:prstGeom prst="rect">
                      <a:avLst/>
                    </a:prstGeom>
                    <a:ln>
                      <a:noFill/>
                    </a:ln>
                  </pic:spPr>
                </pic:pic>
              </a:graphicData>
            </a:graphic>
          </wp:inline>
        </w:drawing>
      </w:r>
    </w:p>
    <w:p w14:paraId="3E467ED4">
      <w:pPr>
        <w:spacing w:after="200" w:line="360" w:lineRule="auto"/>
        <w:jc w:val="both"/>
        <w:rPr>
          <w:rFonts w:asciiTheme="majorBidi" w:hAnsiTheme="majorBidi" w:cstheme="majorBidi"/>
          <w:sz w:val="32"/>
          <w:szCs w:val="32"/>
        </w:rPr>
      </w:pPr>
      <w:r>
        <w:rPr>
          <w:rFonts w:asciiTheme="majorBidi" w:hAnsiTheme="majorBidi" w:cstheme="majorBidi"/>
          <w:sz w:val="32"/>
          <w:szCs w:val="32"/>
        </w:rPr>
        <w:t>The findings offer partial support for SCCT's premise that organizations facing an externally attributed crisis favor disclosure paired with reassurance over denial - both organizations disclosed rather than concealed, and neither employed denial strategies in the available corpus. However, the humanitarian context surfaces a pattern not well captured by SCCT or IRT in their original corporate formulations. Where SCCT treats disclosure primarily as a lever for reputation management, the ICRC corpus demonstrates disclosure being explicitly and repeatedly weighed against a distinct risk: that disclosure itself may endanger the very population the disclosure is meant to inform, with the organization stating this rationale directly. This pattern is provisionally termed protection-bounded transparency: limited disclosure justified openly, in terms the organization itself articulates.</w:t>
      </w:r>
    </w:p>
    <w:p w14:paraId="3E733240">
      <w:pPr>
        <w:spacing w:after="200" w:line="360" w:lineRule="auto"/>
        <w:jc w:val="both"/>
        <w:rPr>
          <w:rFonts w:asciiTheme="majorBidi" w:hAnsiTheme="majorBidi" w:cstheme="majorBidi"/>
          <w:sz w:val="32"/>
          <w:szCs w:val="32"/>
        </w:rPr>
      </w:pPr>
      <w:r>
        <w:rPr>
          <w:rFonts w:asciiTheme="majorBidi" w:hAnsiTheme="majorBidi" w:cstheme="majorBidi"/>
          <w:sz w:val="32"/>
          <w:szCs w:val="32"/>
        </w:rPr>
        <w:t>The WFP corpus, once extended to 29 July 2026, documents a related but analytically distinct pattern. As an empirical observation: WFP also limits disclosure - it has not published investigation findings, a risk assessment, or a confirmed total-affected figure - but, unlike ICRC, no document in the corpus articulates a protective rationale for these limits; internal guidance instead directs staff toward messaging about improvements rather than explanation, and external stakeholders have explicitly rejected the possibility of a protective justification (per Access Now's senior humanitarian officer, as reported by The New Humanitarian, 2026, 29 July, who is quoted stating that no justification for the lack of transparency exists). This observed pattern - limited disclosure without an explicitly documented protective rationale - is interpreted here as institutional reticence. This label is a researcher interpretation of the pattern, not a claim about WFP's internal motives or intent, which this study's document-based design cannot establish; the corpus supports the observation that a rationale is absent from the public record, not a conclusion about why it is absent. The distinction between protection-bounded transparency and institutional reticence is offered as this study's central comparative contribution: both are compatible with SCCT's general expectation that organizations avoid denial, but only the former is documented as being tied to a stated beneficiary-protection purpose. Whether this distinction generalizes beyond these two cases cannot yet be established from a two-case design; testing it against additional humanitarian-sector breaches, as they are documented, is identified as a specific next step.</w:t>
      </w:r>
    </w:p>
    <w:p w14:paraId="0D231BB4">
      <w:pPr>
        <w:spacing w:after="200" w:line="360" w:lineRule="auto"/>
        <w:jc w:val="both"/>
        <w:rPr>
          <w:rFonts w:asciiTheme="majorBidi" w:hAnsiTheme="majorBidi" w:cstheme="majorBidi"/>
          <w:sz w:val="32"/>
          <w:szCs w:val="32"/>
        </w:rPr>
      </w:pPr>
      <w:r>
        <w:rPr>
          <w:rFonts w:asciiTheme="majorBidi" w:hAnsiTheme="majorBidi" w:cstheme="majorBidi"/>
          <w:sz w:val="32"/>
          <w:szCs w:val="32"/>
        </w:rPr>
        <w:t>A second candidate theme is humanitarian operational continuity communication: in both cases, but especially in WFP's currently documented corpus, a substantial share of crisis communication is directed not at reputation management but at reassuring beneficiaries that essential assistance continues despite the incident. This suggests that, in humanitarian settings, crisis communication may serve risk-mitigation and service-continuity functions that sit outside the reputation-centered logic of SCCT and IRT as originally formulated.</w:t>
      </w:r>
    </w:p>
    <w:p w14:paraId="719ECB70">
      <w:pPr>
        <w:pStyle w:val="2"/>
        <w:spacing w:before="360" w:after="160"/>
        <w:rPr>
          <w:rFonts w:asciiTheme="majorBidi" w:hAnsiTheme="majorBidi" w:cstheme="majorBidi"/>
          <w:sz w:val="40"/>
          <w:szCs w:val="40"/>
        </w:rPr>
      </w:pPr>
      <w:r>
        <w:rPr>
          <w:rFonts w:asciiTheme="majorBidi" w:hAnsiTheme="majorBidi" w:cstheme="majorBidi"/>
          <w:b/>
          <w:bCs/>
          <w:sz w:val="36"/>
          <w:szCs w:val="36"/>
        </w:rPr>
        <w:t>15. Proposed Framework: Humanitarian Cyber Crisis Communication and Protection Framework (HCCCPF)</w:t>
      </w:r>
    </w:p>
    <w:p w14:paraId="4AE3C996">
      <w:pPr>
        <w:spacing w:after="200" w:line="360" w:lineRule="auto"/>
        <w:jc w:val="both"/>
        <w:rPr>
          <w:rFonts w:asciiTheme="majorBidi" w:hAnsiTheme="majorBidi" w:cstheme="majorBidi"/>
          <w:sz w:val="32"/>
          <w:szCs w:val="32"/>
        </w:rPr>
      </w:pPr>
      <w:r>
        <w:rPr>
          <w:rFonts w:asciiTheme="majorBidi" w:hAnsiTheme="majorBidi" w:cstheme="majorBidi"/>
          <w:sz w:val="32"/>
          <w:szCs w:val="32"/>
        </w:rPr>
        <w:t>Building on the findings above, a six-phase, cyclical framework is proposed, organized around a central Protection Boundary construct: at each phase, the organization must assess whether a given disclosure could increase the risk of harm to affected populations, and calibrate transparency accordingly. This reframes limited disclosure not as a transparency deficit but as a deliberate, justifiable communicative choice under a distinct set of humanitarian obligations.</w:t>
      </w:r>
    </w:p>
    <w:p w14:paraId="464707E8">
      <w:pPr>
        <w:spacing w:before="180" w:after="60"/>
      </w:pPr>
      <w:r>
        <w:rPr>
          <w:b/>
          <w:sz w:val="20"/>
        </w:rPr>
        <w:t>Table 12. HCCCPF Phase Structure</w:t>
      </w:r>
    </w:p>
    <w:tbl>
      <w:tblPr>
        <w:tblStyle w:val="9"/>
        <w:tblW w:w="10800" w:type="dxa"/>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600"/>
        <w:gridCol w:w="1600"/>
        <w:gridCol w:w="3200"/>
        <w:gridCol w:w="2200"/>
        <w:gridCol w:w="2200"/>
      </w:tblGrid>
      <w:tr w14:paraId="4063D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shd w:val="clear" w:color="auto" w:fill="D9E2F3"/>
            <w:tcMar>
              <w:top w:w="90" w:type="dxa"/>
              <w:left w:w="90" w:type="dxa"/>
              <w:bottom w:w="90" w:type="dxa"/>
              <w:right w:w="90" w:type="dxa"/>
            </w:tcMar>
          </w:tcPr>
          <w:p w14:paraId="28AC81AF">
            <w:pPr>
              <w:rPr>
                <w:rFonts w:asciiTheme="majorBidi" w:hAnsiTheme="majorBidi" w:cstheme="majorBidi"/>
                <w:sz w:val="32"/>
                <w:szCs w:val="32"/>
              </w:rPr>
            </w:pPr>
            <w:r>
              <w:rPr>
                <w:rFonts w:asciiTheme="majorBidi" w:hAnsiTheme="majorBidi" w:cstheme="majorBidi"/>
                <w:b/>
                <w:bCs/>
                <w:sz w:val="22"/>
                <w:szCs w:val="22"/>
              </w:rPr>
              <w:t>Phase</w:t>
            </w:r>
          </w:p>
        </w:tc>
        <w:tc>
          <w:tcPr>
            <w:tcW w:w="1600" w:type="dxa"/>
            <w:shd w:val="clear" w:color="auto" w:fill="D9E2F3"/>
            <w:tcMar>
              <w:top w:w="90" w:type="dxa"/>
              <w:left w:w="90" w:type="dxa"/>
              <w:bottom w:w="90" w:type="dxa"/>
              <w:right w:w="90" w:type="dxa"/>
            </w:tcMar>
          </w:tcPr>
          <w:p w14:paraId="766F7B7A">
            <w:pPr>
              <w:rPr>
                <w:rFonts w:asciiTheme="majorBidi" w:hAnsiTheme="majorBidi" w:cstheme="majorBidi"/>
                <w:sz w:val="32"/>
                <w:szCs w:val="32"/>
              </w:rPr>
            </w:pPr>
            <w:r>
              <w:rPr>
                <w:rFonts w:asciiTheme="majorBidi" w:hAnsiTheme="majorBidi" w:cstheme="majorBidi"/>
                <w:b/>
                <w:bCs/>
                <w:sz w:val="22"/>
                <w:szCs w:val="22"/>
              </w:rPr>
              <w:t>Principle</w:t>
            </w:r>
          </w:p>
        </w:tc>
        <w:tc>
          <w:tcPr>
            <w:tcW w:w="3200" w:type="dxa"/>
            <w:shd w:val="clear" w:color="auto" w:fill="D9E2F3"/>
            <w:tcMar>
              <w:top w:w="90" w:type="dxa"/>
              <w:left w:w="90" w:type="dxa"/>
              <w:bottom w:w="90" w:type="dxa"/>
              <w:right w:w="90" w:type="dxa"/>
            </w:tcMar>
          </w:tcPr>
          <w:p w14:paraId="1E3685AB">
            <w:pPr>
              <w:rPr>
                <w:rFonts w:asciiTheme="majorBidi" w:hAnsiTheme="majorBidi" w:cstheme="majorBidi"/>
                <w:sz w:val="32"/>
                <w:szCs w:val="32"/>
              </w:rPr>
            </w:pPr>
            <w:r>
              <w:rPr>
                <w:rFonts w:asciiTheme="majorBidi" w:hAnsiTheme="majorBidi" w:cstheme="majorBidi"/>
                <w:b/>
                <w:bCs/>
                <w:sz w:val="22"/>
                <w:szCs w:val="22"/>
              </w:rPr>
              <w:t>Core actions</w:t>
            </w:r>
          </w:p>
        </w:tc>
        <w:tc>
          <w:tcPr>
            <w:tcW w:w="2200" w:type="dxa"/>
            <w:shd w:val="clear" w:color="auto" w:fill="D9E2F3"/>
            <w:tcMar>
              <w:top w:w="90" w:type="dxa"/>
              <w:left w:w="90" w:type="dxa"/>
              <w:bottom w:w="90" w:type="dxa"/>
              <w:right w:w="90" w:type="dxa"/>
            </w:tcMar>
          </w:tcPr>
          <w:p w14:paraId="0F94D47E">
            <w:pPr>
              <w:rPr>
                <w:rFonts w:asciiTheme="majorBidi" w:hAnsiTheme="majorBidi" w:cstheme="majorBidi"/>
                <w:sz w:val="32"/>
                <w:szCs w:val="32"/>
              </w:rPr>
            </w:pPr>
            <w:r>
              <w:rPr>
                <w:rFonts w:asciiTheme="majorBidi" w:hAnsiTheme="majorBidi" w:cstheme="majorBidi"/>
                <w:b/>
                <w:bCs/>
                <w:sz w:val="22"/>
                <w:szCs w:val="22"/>
              </w:rPr>
              <w:t>Beneficiary need addressed</w:t>
            </w:r>
          </w:p>
        </w:tc>
        <w:tc>
          <w:tcPr>
            <w:tcW w:w="2200" w:type="dxa"/>
            <w:shd w:val="clear" w:color="auto" w:fill="D9E2F3"/>
            <w:tcMar>
              <w:top w:w="90" w:type="dxa"/>
              <w:left w:w="90" w:type="dxa"/>
              <w:bottom w:w="90" w:type="dxa"/>
              <w:right w:w="90" w:type="dxa"/>
            </w:tcMar>
          </w:tcPr>
          <w:p w14:paraId="5EC59649">
            <w:pPr>
              <w:rPr>
                <w:rFonts w:asciiTheme="majorBidi" w:hAnsiTheme="majorBidi" w:cstheme="majorBidi"/>
                <w:sz w:val="32"/>
                <w:szCs w:val="32"/>
              </w:rPr>
            </w:pPr>
            <w:r>
              <w:rPr>
                <w:rFonts w:asciiTheme="majorBidi" w:hAnsiTheme="majorBidi" w:cstheme="majorBidi"/>
                <w:b/>
                <w:bCs/>
                <w:sz w:val="22"/>
                <w:szCs w:val="22"/>
              </w:rPr>
              <w:t>Theoretical basis</w:t>
            </w:r>
          </w:p>
        </w:tc>
      </w:tr>
      <w:tr w14:paraId="17693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58BF2E38">
            <w:pPr>
              <w:rPr>
                <w:rFonts w:asciiTheme="majorBidi" w:hAnsiTheme="majorBidi" w:cstheme="majorBidi"/>
                <w:sz w:val="32"/>
                <w:szCs w:val="32"/>
              </w:rPr>
            </w:pPr>
            <w:r>
              <w:rPr>
                <w:rFonts w:asciiTheme="majorBidi" w:hAnsiTheme="majorBidi" w:cstheme="majorBidi"/>
                <w:sz w:val="22"/>
                <w:szCs w:val="22"/>
              </w:rPr>
              <w:t>0. Pre-Crisis</w:t>
            </w:r>
          </w:p>
        </w:tc>
        <w:tc>
          <w:tcPr>
            <w:tcW w:w="1600" w:type="dxa"/>
            <w:tcMar>
              <w:top w:w="90" w:type="dxa"/>
              <w:left w:w="90" w:type="dxa"/>
              <w:bottom w:w="90" w:type="dxa"/>
              <w:right w:w="90" w:type="dxa"/>
            </w:tcMar>
          </w:tcPr>
          <w:p w14:paraId="0DC966E6">
            <w:pPr>
              <w:rPr>
                <w:rFonts w:asciiTheme="majorBidi" w:hAnsiTheme="majorBidi" w:cstheme="majorBidi"/>
                <w:sz w:val="32"/>
                <w:szCs w:val="32"/>
              </w:rPr>
            </w:pPr>
            <w:r>
              <w:rPr>
                <w:rFonts w:asciiTheme="majorBidi" w:hAnsiTheme="majorBidi" w:cstheme="majorBidi"/>
                <w:sz w:val="22"/>
                <w:szCs w:val="22"/>
              </w:rPr>
              <w:t>Preparedness</w:t>
            </w:r>
          </w:p>
        </w:tc>
        <w:tc>
          <w:tcPr>
            <w:tcW w:w="3200" w:type="dxa"/>
            <w:tcMar>
              <w:top w:w="90" w:type="dxa"/>
              <w:left w:w="90" w:type="dxa"/>
              <w:bottom w:w="90" w:type="dxa"/>
              <w:right w:w="90" w:type="dxa"/>
            </w:tcMar>
          </w:tcPr>
          <w:p w14:paraId="2CD23948">
            <w:pPr>
              <w:rPr>
                <w:rFonts w:asciiTheme="majorBidi" w:hAnsiTheme="majorBidi" w:cstheme="majorBidi"/>
                <w:sz w:val="32"/>
                <w:szCs w:val="32"/>
              </w:rPr>
            </w:pPr>
            <w:r>
              <w:rPr>
                <w:rFonts w:asciiTheme="majorBidi" w:hAnsiTheme="majorBidi" w:cstheme="majorBidi"/>
                <w:sz w:val="22"/>
                <w:szCs w:val="22"/>
              </w:rPr>
              <w:t>Cyber-risk mapping; data minimization; pre-drafted notification protocols; stakeholder mapping</w:t>
            </w:r>
          </w:p>
        </w:tc>
        <w:tc>
          <w:tcPr>
            <w:tcW w:w="2200" w:type="dxa"/>
            <w:tcMar>
              <w:top w:w="90" w:type="dxa"/>
              <w:left w:w="90" w:type="dxa"/>
              <w:bottom w:w="90" w:type="dxa"/>
              <w:right w:w="90" w:type="dxa"/>
            </w:tcMar>
          </w:tcPr>
          <w:p w14:paraId="43BEAE15">
            <w:pPr>
              <w:rPr>
                <w:rFonts w:asciiTheme="majorBidi" w:hAnsiTheme="majorBidi" w:cstheme="majorBidi"/>
                <w:sz w:val="32"/>
                <w:szCs w:val="32"/>
              </w:rPr>
            </w:pPr>
            <w:r>
              <w:rPr>
                <w:rFonts w:asciiTheme="majorBidi" w:hAnsiTheme="majorBidi" w:cstheme="majorBidi"/>
                <w:sz w:val="22"/>
                <w:szCs w:val="22"/>
              </w:rPr>
              <w:t>Reduced likelihood/impact of future exposure</w:t>
            </w:r>
          </w:p>
        </w:tc>
        <w:tc>
          <w:tcPr>
            <w:tcW w:w="2200" w:type="dxa"/>
            <w:tcMar>
              <w:top w:w="90" w:type="dxa"/>
              <w:left w:w="90" w:type="dxa"/>
              <w:bottom w:w="90" w:type="dxa"/>
              <w:right w:w="90" w:type="dxa"/>
            </w:tcMar>
          </w:tcPr>
          <w:p w14:paraId="1DF4C437">
            <w:pPr>
              <w:rPr>
                <w:rFonts w:asciiTheme="majorBidi" w:hAnsiTheme="majorBidi" w:cstheme="majorBidi"/>
                <w:sz w:val="32"/>
                <w:szCs w:val="32"/>
              </w:rPr>
            </w:pPr>
            <w:r>
              <w:rPr>
                <w:rFonts w:asciiTheme="majorBidi" w:hAnsiTheme="majorBidi" w:cstheme="majorBidi"/>
                <w:sz w:val="22"/>
                <w:szCs w:val="22"/>
              </w:rPr>
              <w:t>SCCT (situational preparedness)</w:t>
            </w:r>
          </w:p>
        </w:tc>
      </w:tr>
      <w:tr w14:paraId="31D3D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132F137F">
            <w:pPr>
              <w:rPr>
                <w:rFonts w:asciiTheme="majorBidi" w:hAnsiTheme="majorBidi" w:cstheme="majorBidi"/>
                <w:sz w:val="32"/>
                <w:szCs w:val="32"/>
              </w:rPr>
            </w:pPr>
            <w:r>
              <w:rPr>
                <w:rFonts w:asciiTheme="majorBidi" w:hAnsiTheme="majorBidi" w:cstheme="majorBidi"/>
                <w:sz w:val="22"/>
                <w:szCs w:val="22"/>
              </w:rPr>
              <w:t>1. Detection</w:t>
            </w:r>
          </w:p>
        </w:tc>
        <w:tc>
          <w:tcPr>
            <w:tcW w:w="1600" w:type="dxa"/>
            <w:tcMar>
              <w:top w:w="90" w:type="dxa"/>
              <w:left w:w="90" w:type="dxa"/>
              <w:bottom w:w="90" w:type="dxa"/>
              <w:right w:w="90" w:type="dxa"/>
            </w:tcMar>
          </w:tcPr>
          <w:p w14:paraId="3B8EA400">
            <w:pPr>
              <w:rPr>
                <w:rFonts w:asciiTheme="majorBidi" w:hAnsiTheme="majorBidi" w:cstheme="majorBidi"/>
                <w:sz w:val="32"/>
                <w:szCs w:val="32"/>
              </w:rPr>
            </w:pPr>
            <w:r>
              <w:rPr>
                <w:rFonts w:asciiTheme="majorBidi" w:hAnsiTheme="majorBidi" w:cstheme="majorBidi"/>
                <w:sz w:val="22"/>
                <w:szCs w:val="22"/>
              </w:rPr>
              <w:t>Verify &amp; assess</w:t>
            </w:r>
          </w:p>
        </w:tc>
        <w:tc>
          <w:tcPr>
            <w:tcW w:w="3200" w:type="dxa"/>
            <w:tcMar>
              <w:top w:w="90" w:type="dxa"/>
              <w:left w:w="90" w:type="dxa"/>
              <w:bottom w:w="90" w:type="dxa"/>
              <w:right w:w="90" w:type="dxa"/>
            </w:tcMar>
          </w:tcPr>
          <w:p w14:paraId="37195E1C">
            <w:pPr>
              <w:rPr>
                <w:rFonts w:asciiTheme="majorBidi" w:hAnsiTheme="majorBidi" w:cstheme="majorBidi"/>
                <w:sz w:val="32"/>
                <w:szCs w:val="32"/>
              </w:rPr>
            </w:pPr>
            <w:r>
              <w:rPr>
                <w:rFonts w:asciiTheme="majorBidi" w:hAnsiTheme="majorBidi" w:cstheme="majorBidi"/>
                <w:sz w:val="22"/>
                <w:szCs w:val="22"/>
              </w:rPr>
              <w:t>Confirm breach; scope affected systems and populations; assess humanitarian risk of disclosure itself</w:t>
            </w:r>
          </w:p>
        </w:tc>
        <w:tc>
          <w:tcPr>
            <w:tcW w:w="2200" w:type="dxa"/>
            <w:tcMar>
              <w:top w:w="90" w:type="dxa"/>
              <w:left w:w="90" w:type="dxa"/>
              <w:bottom w:w="90" w:type="dxa"/>
              <w:right w:w="90" w:type="dxa"/>
            </w:tcMar>
          </w:tcPr>
          <w:p w14:paraId="664072B0">
            <w:pPr>
              <w:rPr>
                <w:rFonts w:asciiTheme="majorBidi" w:hAnsiTheme="majorBidi" w:cstheme="majorBidi"/>
                <w:sz w:val="32"/>
                <w:szCs w:val="32"/>
              </w:rPr>
            </w:pPr>
            <w:r>
              <w:rPr>
                <w:rFonts w:asciiTheme="majorBidi" w:hAnsiTheme="majorBidi" w:cstheme="majorBidi"/>
                <w:sz w:val="22"/>
                <w:szCs w:val="22"/>
              </w:rPr>
              <w:t>Accurate basis for any communication that follows</w:t>
            </w:r>
          </w:p>
        </w:tc>
        <w:tc>
          <w:tcPr>
            <w:tcW w:w="2200" w:type="dxa"/>
            <w:tcMar>
              <w:top w:w="90" w:type="dxa"/>
              <w:left w:w="90" w:type="dxa"/>
              <w:bottom w:w="90" w:type="dxa"/>
              <w:right w:w="90" w:type="dxa"/>
            </w:tcMar>
          </w:tcPr>
          <w:p w14:paraId="4265353F">
            <w:pPr>
              <w:rPr>
                <w:rFonts w:asciiTheme="majorBidi" w:hAnsiTheme="majorBidi" w:cstheme="majorBidi"/>
                <w:sz w:val="32"/>
                <w:szCs w:val="32"/>
              </w:rPr>
            </w:pPr>
            <w:r>
              <w:rPr>
                <w:rFonts w:asciiTheme="majorBidi" w:hAnsiTheme="majorBidi" w:cstheme="majorBidi"/>
                <w:sz w:val="22"/>
                <w:szCs w:val="22"/>
              </w:rPr>
              <w:t>Risk/crisis communication literature</w:t>
            </w:r>
          </w:p>
        </w:tc>
      </w:tr>
      <w:tr w14:paraId="4D0E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18189D03">
            <w:pPr>
              <w:rPr>
                <w:rFonts w:asciiTheme="majorBidi" w:hAnsiTheme="majorBidi" w:cstheme="majorBidi"/>
                <w:sz w:val="32"/>
                <w:szCs w:val="32"/>
              </w:rPr>
            </w:pPr>
            <w:r>
              <w:rPr>
                <w:rFonts w:asciiTheme="majorBidi" w:hAnsiTheme="majorBidi" w:cstheme="majorBidi"/>
                <w:sz w:val="22"/>
                <w:szCs w:val="22"/>
              </w:rPr>
              <w:t>2. Initial Response</w:t>
            </w:r>
          </w:p>
        </w:tc>
        <w:tc>
          <w:tcPr>
            <w:tcW w:w="1600" w:type="dxa"/>
            <w:tcMar>
              <w:top w:w="90" w:type="dxa"/>
              <w:left w:w="90" w:type="dxa"/>
              <w:bottom w:w="90" w:type="dxa"/>
              <w:right w:w="90" w:type="dxa"/>
            </w:tcMar>
          </w:tcPr>
          <w:p w14:paraId="4348A99B">
            <w:pPr>
              <w:rPr>
                <w:rFonts w:asciiTheme="majorBidi" w:hAnsiTheme="majorBidi" w:cstheme="majorBidi"/>
                <w:sz w:val="32"/>
                <w:szCs w:val="32"/>
              </w:rPr>
            </w:pPr>
            <w:r>
              <w:rPr>
                <w:rFonts w:asciiTheme="majorBidi" w:hAnsiTheme="majorBidi" w:cstheme="majorBidi"/>
                <w:sz w:val="22"/>
                <w:szCs w:val="22"/>
              </w:rPr>
              <w:t>Acknowledge &amp; protect</w:t>
            </w:r>
          </w:p>
        </w:tc>
        <w:tc>
          <w:tcPr>
            <w:tcW w:w="3200" w:type="dxa"/>
            <w:tcMar>
              <w:top w:w="90" w:type="dxa"/>
              <w:left w:w="90" w:type="dxa"/>
              <w:bottom w:w="90" w:type="dxa"/>
              <w:right w:w="90" w:type="dxa"/>
            </w:tcMar>
          </w:tcPr>
          <w:p w14:paraId="028BEDC4">
            <w:pPr>
              <w:rPr>
                <w:rFonts w:asciiTheme="majorBidi" w:hAnsiTheme="majorBidi" w:cstheme="majorBidi"/>
                <w:sz w:val="32"/>
                <w:szCs w:val="32"/>
              </w:rPr>
            </w:pPr>
            <w:r>
              <w:rPr>
                <w:rFonts w:asciiTheme="majorBidi" w:hAnsiTheme="majorBidi" w:cstheme="majorBidi"/>
                <w:sz w:val="22"/>
                <w:szCs w:val="22"/>
              </w:rPr>
              <w:t>Acknowledge incident; communicate verified facts; issue protective guidance; counter misinformation/impersonation</w:t>
            </w:r>
          </w:p>
        </w:tc>
        <w:tc>
          <w:tcPr>
            <w:tcW w:w="2200" w:type="dxa"/>
            <w:tcMar>
              <w:top w:w="90" w:type="dxa"/>
              <w:left w:w="90" w:type="dxa"/>
              <w:bottom w:w="90" w:type="dxa"/>
              <w:right w:w="90" w:type="dxa"/>
            </w:tcMar>
          </w:tcPr>
          <w:p w14:paraId="2939EFD6">
            <w:pPr>
              <w:rPr>
                <w:rFonts w:asciiTheme="majorBidi" w:hAnsiTheme="majorBidi" w:cstheme="majorBidi"/>
                <w:sz w:val="32"/>
                <w:szCs w:val="32"/>
              </w:rPr>
            </w:pPr>
            <w:r>
              <w:rPr>
                <w:rFonts w:asciiTheme="majorBidi" w:hAnsiTheme="majorBidi" w:cstheme="majorBidi"/>
                <w:sz w:val="22"/>
                <w:szCs w:val="22"/>
              </w:rPr>
              <w:t>Knowing whether one is affected and what to do</w:t>
            </w:r>
          </w:p>
        </w:tc>
        <w:tc>
          <w:tcPr>
            <w:tcW w:w="2200" w:type="dxa"/>
            <w:tcMar>
              <w:top w:w="90" w:type="dxa"/>
              <w:left w:w="90" w:type="dxa"/>
              <w:bottom w:w="90" w:type="dxa"/>
              <w:right w:w="90" w:type="dxa"/>
            </w:tcMar>
          </w:tcPr>
          <w:p w14:paraId="4E1651F2">
            <w:pPr>
              <w:rPr>
                <w:rFonts w:asciiTheme="majorBidi" w:hAnsiTheme="majorBidi" w:cstheme="majorBidi"/>
                <w:sz w:val="32"/>
                <w:szCs w:val="32"/>
              </w:rPr>
            </w:pPr>
            <w:r>
              <w:rPr>
                <w:rFonts w:asciiTheme="majorBidi" w:hAnsiTheme="majorBidi" w:cstheme="majorBidi"/>
                <w:sz w:val="22"/>
                <w:szCs w:val="22"/>
              </w:rPr>
              <w:t>SCCT; humanitarian data-protection guidance</w:t>
            </w:r>
          </w:p>
        </w:tc>
      </w:tr>
      <w:tr w14:paraId="01ACD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736B952E">
            <w:pPr>
              <w:rPr>
                <w:rFonts w:asciiTheme="majorBidi" w:hAnsiTheme="majorBidi" w:cstheme="majorBidi"/>
                <w:sz w:val="32"/>
                <w:szCs w:val="32"/>
              </w:rPr>
            </w:pPr>
            <w:r>
              <w:rPr>
                <w:rFonts w:asciiTheme="majorBidi" w:hAnsiTheme="majorBidi" w:cstheme="majorBidi"/>
                <w:sz w:val="22"/>
                <w:szCs w:val="22"/>
              </w:rPr>
              <w:t>3. Accountability</w:t>
            </w:r>
          </w:p>
        </w:tc>
        <w:tc>
          <w:tcPr>
            <w:tcW w:w="1600" w:type="dxa"/>
            <w:tcMar>
              <w:top w:w="90" w:type="dxa"/>
              <w:left w:w="90" w:type="dxa"/>
              <w:bottom w:w="90" w:type="dxa"/>
              <w:right w:w="90" w:type="dxa"/>
            </w:tcMar>
          </w:tcPr>
          <w:p w14:paraId="0A154408">
            <w:pPr>
              <w:rPr>
                <w:rFonts w:asciiTheme="majorBidi" w:hAnsiTheme="majorBidi" w:cstheme="majorBidi"/>
                <w:sz w:val="32"/>
                <w:szCs w:val="32"/>
              </w:rPr>
            </w:pPr>
            <w:r>
              <w:rPr>
                <w:rFonts w:asciiTheme="majorBidi" w:hAnsiTheme="majorBidi" w:cstheme="majorBidi"/>
                <w:sz w:val="22"/>
                <w:szCs w:val="22"/>
              </w:rPr>
              <w:t>Explain &amp; act within the Protection Boundary</w:t>
            </w:r>
          </w:p>
        </w:tc>
        <w:tc>
          <w:tcPr>
            <w:tcW w:w="3200" w:type="dxa"/>
            <w:tcMar>
              <w:top w:w="90" w:type="dxa"/>
              <w:left w:w="90" w:type="dxa"/>
              <w:bottom w:w="90" w:type="dxa"/>
              <w:right w:w="90" w:type="dxa"/>
            </w:tcMar>
          </w:tcPr>
          <w:p w14:paraId="45C0D468">
            <w:pPr>
              <w:rPr>
                <w:rFonts w:asciiTheme="majorBidi" w:hAnsiTheme="majorBidi" w:cstheme="majorBidi"/>
                <w:sz w:val="32"/>
                <w:szCs w:val="32"/>
              </w:rPr>
            </w:pPr>
            <w:r>
              <w:rPr>
                <w:rFonts w:asciiTheme="majorBidi" w:hAnsiTheme="majorBidi" w:cstheme="majorBidi"/>
                <w:sz w:val="22"/>
                <w:szCs w:val="22"/>
              </w:rPr>
              <w:t>Explain what is known and not yet known; accept institutional responsibility where appropriate; describe corrective measures; where details are withheld, state the protective rationale explicitly (distinguishing protection-bounded transparency from unexplained institutional reticence)</w:t>
            </w:r>
          </w:p>
        </w:tc>
        <w:tc>
          <w:tcPr>
            <w:tcW w:w="2200" w:type="dxa"/>
            <w:tcMar>
              <w:top w:w="90" w:type="dxa"/>
              <w:left w:w="90" w:type="dxa"/>
              <w:bottom w:w="90" w:type="dxa"/>
              <w:right w:w="90" w:type="dxa"/>
            </w:tcMar>
          </w:tcPr>
          <w:p w14:paraId="7B27128C">
            <w:pPr>
              <w:rPr>
                <w:rFonts w:asciiTheme="majorBidi" w:hAnsiTheme="majorBidi" w:cstheme="majorBidi"/>
                <w:sz w:val="32"/>
                <w:szCs w:val="32"/>
              </w:rPr>
            </w:pPr>
            <w:r>
              <w:rPr>
                <w:rFonts w:asciiTheme="majorBidi" w:hAnsiTheme="majorBidi" w:cstheme="majorBidi"/>
                <w:sz w:val="22"/>
                <w:szCs w:val="22"/>
              </w:rPr>
              <w:t>Trust that the organization is accountable without further exposure</w:t>
            </w:r>
          </w:p>
        </w:tc>
        <w:tc>
          <w:tcPr>
            <w:tcW w:w="2200" w:type="dxa"/>
            <w:tcMar>
              <w:top w:w="90" w:type="dxa"/>
              <w:left w:w="90" w:type="dxa"/>
              <w:bottom w:w="90" w:type="dxa"/>
              <w:right w:w="90" w:type="dxa"/>
            </w:tcMar>
          </w:tcPr>
          <w:p w14:paraId="5E3DE891">
            <w:pPr>
              <w:rPr>
                <w:rFonts w:asciiTheme="majorBidi" w:hAnsiTheme="majorBidi" w:cstheme="majorBidi"/>
                <w:sz w:val="32"/>
                <w:szCs w:val="32"/>
              </w:rPr>
            </w:pPr>
            <w:r>
              <w:rPr>
                <w:rFonts w:asciiTheme="majorBidi" w:hAnsiTheme="majorBidi" w:cstheme="majorBidi"/>
                <w:sz w:val="22"/>
                <w:szCs w:val="22"/>
              </w:rPr>
              <w:t>IRT (accountability strategies); emergent themes: Protection-Bounded Transparency vs. Institutional Reticence</w:t>
            </w:r>
          </w:p>
        </w:tc>
      </w:tr>
      <w:tr w14:paraId="7E7C6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16F7FA7A">
            <w:pPr>
              <w:rPr>
                <w:rFonts w:asciiTheme="majorBidi" w:hAnsiTheme="majorBidi" w:cstheme="majorBidi"/>
                <w:sz w:val="32"/>
                <w:szCs w:val="32"/>
              </w:rPr>
            </w:pPr>
            <w:r>
              <w:rPr>
                <w:rFonts w:asciiTheme="majorBidi" w:hAnsiTheme="majorBidi" w:cstheme="majorBidi"/>
                <w:sz w:val="22"/>
                <w:szCs w:val="22"/>
              </w:rPr>
              <w:t>4. Continuity &amp; Trust</w:t>
            </w:r>
          </w:p>
        </w:tc>
        <w:tc>
          <w:tcPr>
            <w:tcW w:w="1600" w:type="dxa"/>
            <w:tcMar>
              <w:top w:w="90" w:type="dxa"/>
              <w:left w:w="90" w:type="dxa"/>
              <w:bottom w:w="90" w:type="dxa"/>
              <w:right w:w="90" w:type="dxa"/>
            </w:tcMar>
          </w:tcPr>
          <w:p w14:paraId="3094321F">
            <w:pPr>
              <w:rPr>
                <w:rFonts w:asciiTheme="majorBidi" w:hAnsiTheme="majorBidi" w:cstheme="majorBidi"/>
                <w:sz w:val="32"/>
                <w:szCs w:val="32"/>
              </w:rPr>
            </w:pPr>
            <w:r>
              <w:rPr>
                <w:rFonts w:asciiTheme="majorBidi" w:hAnsiTheme="majorBidi" w:cstheme="majorBidi"/>
                <w:sz w:val="22"/>
                <w:szCs w:val="22"/>
              </w:rPr>
              <w:t>Protect the mission</w:t>
            </w:r>
          </w:p>
        </w:tc>
        <w:tc>
          <w:tcPr>
            <w:tcW w:w="3200" w:type="dxa"/>
            <w:tcMar>
              <w:top w:w="90" w:type="dxa"/>
              <w:left w:w="90" w:type="dxa"/>
              <w:bottom w:w="90" w:type="dxa"/>
              <w:right w:w="90" w:type="dxa"/>
            </w:tcMar>
          </w:tcPr>
          <w:p w14:paraId="51BDFE94">
            <w:pPr>
              <w:rPr>
                <w:rFonts w:asciiTheme="majorBidi" w:hAnsiTheme="majorBidi" w:cstheme="majorBidi"/>
                <w:sz w:val="32"/>
                <w:szCs w:val="32"/>
              </w:rPr>
            </w:pPr>
            <w:r>
              <w:rPr>
                <w:rFonts w:asciiTheme="majorBidi" w:hAnsiTheme="majorBidi" w:cstheme="majorBidi"/>
                <w:sz w:val="22"/>
                <w:szCs w:val="22"/>
              </w:rPr>
              <w:t>Reassure on continuity of assistance; restore systems; sustain stakeholder communication; reduce uncertainty</w:t>
            </w:r>
          </w:p>
        </w:tc>
        <w:tc>
          <w:tcPr>
            <w:tcW w:w="2200" w:type="dxa"/>
            <w:tcMar>
              <w:top w:w="90" w:type="dxa"/>
              <w:left w:w="90" w:type="dxa"/>
              <w:bottom w:w="90" w:type="dxa"/>
              <w:right w:w="90" w:type="dxa"/>
            </w:tcMar>
          </w:tcPr>
          <w:p w14:paraId="2E26836F">
            <w:pPr>
              <w:rPr>
                <w:rFonts w:asciiTheme="majorBidi" w:hAnsiTheme="majorBidi" w:cstheme="majorBidi"/>
                <w:sz w:val="32"/>
                <w:szCs w:val="32"/>
              </w:rPr>
            </w:pPr>
            <w:r>
              <w:rPr>
                <w:rFonts w:asciiTheme="majorBidi" w:hAnsiTheme="majorBidi" w:cstheme="majorBidi"/>
                <w:sz w:val="22"/>
                <w:szCs w:val="22"/>
              </w:rPr>
              <w:t>Confidence that aid will continue</w:t>
            </w:r>
          </w:p>
        </w:tc>
        <w:tc>
          <w:tcPr>
            <w:tcW w:w="2200" w:type="dxa"/>
            <w:tcMar>
              <w:top w:w="90" w:type="dxa"/>
              <w:left w:w="90" w:type="dxa"/>
              <w:bottom w:w="90" w:type="dxa"/>
              <w:right w:w="90" w:type="dxa"/>
            </w:tcMar>
          </w:tcPr>
          <w:p w14:paraId="7D6A4044">
            <w:pPr>
              <w:rPr>
                <w:rFonts w:asciiTheme="majorBidi" w:hAnsiTheme="majorBidi" w:cstheme="majorBidi"/>
                <w:sz w:val="32"/>
                <w:szCs w:val="32"/>
              </w:rPr>
            </w:pPr>
            <w:r>
              <w:rPr>
                <w:rFonts w:asciiTheme="majorBidi" w:hAnsiTheme="majorBidi" w:cstheme="majorBidi"/>
                <w:sz w:val="22"/>
                <w:szCs w:val="22"/>
              </w:rPr>
              <w:t>Emergent theme: Humanitarian Operational Continuity</w:t>
            </w:r>
          </w:p>
        </w:tc>
      </w:tr>
      <w:tr w14:paraId="4CDB5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00" w:type="dxa"/>
            <w:tcMar>
              <w:top w:w="90" w:type="dxa"/>
              <w:left w:w="90" w:type="dxa"/>
              <w:bottom w:w="90" w:type="dxa"/>
              <w:right w:w="90" w:type="dxa"/>
            </w:tcMar>
          </w:tcPr>
          <w:p w14:paraId="5574E38C">
            <w:pPr>
              <w:rPr>
                <w:rFonts w:asciiTheme="majorBidi" w:hAnsiTheme="majorBidi" w:cstheme="majorBidi"/>
                <w:sz w:val="32"/>
                <w:szCs w:val="32"/>
              </w:rPr>
            </w:pPr>
            <w:r>
              <w:rPr>
                <w:rFonts w:asciiTheme="majorBidi" w:hAnsiTheme="majorBidi" w:cstheme="majorBidi"/>
                <w:sz w:val="22"/>
                <w:szCs w:val="22"/>
              </w:rPr>
              <w:t>5. Recovery &amp; Resilience</w:t>
            </w:r>
          </w:p>
        </w:tc>
        <w:tc>
          <w:tcPr>
            <w:tcW w:w="1600" w:type="dxa"/>
            <w:tcMar>
              <w:top w:w="90" w:type="dxa"/>
              <w:left w:w="90" w:type="dxa"/>
              <w:bottom w:w="90" w:type="dxa"/>
              <w:right w:w="90" w:type="dxa"/>
            </w:tcMar>
          </w:tcPr>
          <w:p w14:paraId="385ABB20">
            <w:pPr>
              <w:rPr>
                <w:rFonts w:asciiTheme="majorBidi" w:hAnsiTheme="majorBidi" w:cstheme="majorBidi"/>
                <w:sz w:val="32"/>
                <w:szCs w:val="32"/>
              </w:rPr>
            </w:pPr>
            <w:r>
              <w:rPr>
                <w:rFonts w:asciiTheme="majorBidi" w:hAnsiTheme="majorBidi" w:cstheme="majorBidi"/>
                <w:sz w:val="22"/>
                <w:szCs w:val="22"/>
              </w:rPr>
              <w:t>Learn &amp; improve</w:t>
            </w:r>
          </w:p>
        </w:tc>
        <w:tc>
          <w:tcPr>
            <w:tcW w:w="3200" w:type="dxa"/>
            <w:tcMar>
              <w:top w:w="90" w:type="dxa"/>
              <w:left w:w="90" w:type="dxa"/>
              <w:bottom w:w="90" w:type="dxa"/>
              <w:right w:w="90" w:type="dxa"/>
            </w:tcMar>
          </w:tcPr>
          <w:p w14:paraId="1DA1365A">
            <w:pPr>
              <w:rPr>
                <w:rFonts w:asciiTheme="majorBidi" w:hAnsiTheme="majorBidi" w:cstheme="majorBidi"/>
                <w:sz w:val="32"/>
                <w:szCs w:val="32"/>
              </w:rPr>
            </w:pPr>
            <w:r>
              <w:rPr>
                <w:rFonts w:asciiTheme="majorBidi" w:hAnsiTheme="majorBidi" w:cstheme="majorBidi"/>
                <w:sz w:val="22"/>
                <w:szCs w:val="22"/>
              </w:rPr>
              <w:t>Independent review; technical and policy reform; transparent lessons-learned communication; feed forward into Phase 0</w:t>
            </w:r>
          </w:p>
        </w:tc>
        <w:tc>
          <w:tcPr>
            <w:tcW w:w="2200" w:type="dxa"/>
            <w:tcMar>
              <w:top w:w="90" w:type="dxa"/>
              <w:left w:w="90" w:type="dxa"/>
              <w:bottom w:w="90" w:type="dxa"/>
              <w:right w:w="90" w:type="dxa"/>
            </w:tcMar>
          </w:tcPr>
          <w:p w14:paraId="7A853FB1">
            <w:pPr>
              <w:rPr>
                <w:rFonts w:asciiTheme="majorBidi" w:hAnsiTheme="majorBidi" w:cstheme="majorBidi"/>
                <w:sz w:val="32"/>
                <w:szCs w:val="32"/>
              </w:rPr>
            </w:pPr>
            <w:r>
              <w:rPr>
                <w:rFonts w:asciiTheme="majorBidi" w:hAnsiTheme="majorBidi" w:cstheme="majorBidi"/>
                <w:sz w:val="22"/>
                <w:szCs w:val="22"/>
              </w:rPr>
              <w:t>Confidence that recurrence is being addressed</w:t>
            </w:r>
          </w:p>
        </w:tc>
        <w:tc>
          <w:tcPr>
            <w:tcW w:w="2200" w:type="dxa"/>
            <w:tcMar>
              <w:top w:w="90" w:type="dxa"/>
              <w:left w:w="90" w:type="dxa"/>
              <w:bottom w:w="90" w:type="dxa"/>
              <w:right w:w="90" w:type="dxa"/>
            </w:tcMar>
          </w:tcPr>
          <w:p w14:paraId="3002CDD6">
            <w:pPr>
              <w:rPr>
                <w:rFonts w:asciiTheme="majorBidi" w:hAnsiTheme="majorBidi" w:cstheme="majorBidi"/>
                <w:sz w:val="32"/>
                <w:szCs w:val="32"/>
              </w:rPr>
            </w:pPr>
            <w:r>
              <w:rPr>
                <w:rFonts w:asciiTheme="majorBidi" w:hAnsiTheme="majorBidi" w:cstheme="majorBidi"/>
                <w:sz w:val="22"/>
                <w:szCs w:val="22"/>
              </w:rPr>
              <w:t>Organizational learning literature; feeds back to Phase 0</w:t>
            </w:r>
          </w:p>
        </w:tc>
      </w:tr>
    </w:tbl>
    <w:p w14:paraId="672CCF9B">
      <w:pPr>
        <w:spacing w:before="60" w:after="180"/>
      </w:pPr>
      <w:r>
        <w:rPr>
          <w:i/>
          <w:sz w:val="18"/>
        </w:rPr>
        <w:t>Source: Author's own framework synthesis, derived from the findings in Section 13 and the theoretical framework in Section 8.</w:t>
      </w:r>
    </w:p>
    <w:p w14:paraId="564A8154">
      <w:pPr>
        <w:spacing w:after="200" w:line="360" w:lineRule="auto"/>
        <w:jc w:val="both"/>
        <w:rPr>
          <w:rFonts w:asciiTheme="majorBidi" w:hAnsiTheme="majorBidi" w:cstheme="majorBidi"/>
          <w:sz w:val="32"/>
          <w:szCs w:val="32"/>
        </w:rPr>
      </w:pPr>
      <w:r>
        <w:rPr>
          <w:rFonts w:asciiTheme="majorBidi" w:hAnsiTheme="majorBidi" w:cstheme="majorBidi"/>
          <w:sz w:val="32"/>
          <w:szCs w:val="32"/>
        </w:rPr>
        <w:t xml:space="preserve"> </w:t>
      </w:r>
    </w:p>
    <w:p w14:paraId="43E1EF96">
      <w:pPr>
        <w:spacing w:after="200"/>
        <w:jc w:val="center"/>
        <w:rPr>
          <w:rFonts w:asciiTheme="majorBidi" w:hAnsiTheme="majorBidi" w:cstheme="majorBidi"/>
          <w:sz w:val="32"/>
          <w:szCs w:val="32"/>
        </w:rPr>
      </w:pPr>
      <w:r>
        <w:rPr>
          <w:rFonts w:asciiTheme="majorBidi" w:hAnsiTheme="majorBidi" w:cstheme="majorBidi"/>
          <w:sz w:val="32"/>
          <w:szCs w:val="32"/>
        </w:rPr>
        <w:drawing>
          <wp:inline distT="0" distB="0" distL="0" distR="0">
            <wp:extent cx="3619500" cy="3810000"/>
            <wp:effectExtent l="0" t="0" r="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pic:cNvPicPr>
                      <a:picLocks noChangeAspect="1" noChangeArrowheads="1"/>
                    </pic:cNvPicPr>
                  </pic:nvPicPr>
                  <pic:blipFill>
                    <a:blip r:embed="rId8"/>
                    <a:srcRect/>
                    <a:stretch>
                      <a:fillRect/>
                    </a:stretch>
                  </pic:blipFill>
                  <pic:spPr>
                    <a:xfrm>
                      <a:off x="0" y="0"/>
                      <a:ext cx="3619500" cy="3810000"/>
                    </a:xfrm>
                    <a:prstGeom prst="rect">
                      <a:avLst/>
                    </a:prstGeom>
                  </pic:spPr>
                </pic:pic>
              </a:graphicData>
            </a:graphic>
          </wp:inline>
        </w:drawing>
      </w:r>
    </w:p>
    <w:p w14:paraId="6A0E1683">
      <w:pPr>
        <w:spacing w:after="200" w:line="360" w:lineRule="auto"/>
        <w:jc w:val="center"/>
        <w:rPr>
          <w:rFonts w:asciiTheme="majorBidi" w:hAnsiTheme="majorBidi" w:cstheme="majorBidi"/>
          <w:sz w:val="32"/>
          <w:szCs w:val="32"/>
        </w:rPr>
      </w:pPr>
      <w:r>
        <w:rPr>
          <w:rFonts w:asciiTheme="majorBidi" w:hAnsiTheme="majorBidi" w:cstheme="majorBidi"/>
          <w:i/>
          <w:iCs/>
          <w:sz w:val="32"/>
          <w:szCs w:val="32"/>
        </w:rPr>
        <w:t>Figure 3. Humanitarian Cyber Crisis Communication and Protection Framework (HCCCPF). The six-phase cyclical framework, with the Protection Boundary construct applied at every phase; Phase 3 (shaded) is the phase most directly evidenced by this study's corpus.</w:t>
      </w:r>
    </w:p>
    <w:p w14:paraId="43EA836D">
      <w:pPr>
        <w:spacing w:after="200"/>
        <w:jc w:val="center"/>
        <w:rPr>
          <w:rFonts w:asciiTheme="majorBidi" w:hAnsiTheme="majorBidi" w:cstheme="majorBidi"/>
          <w:sz w:val="32"/>
          <w:szCs w:val="32"/>
        </w:rPr>
      </w:pPr>
      <w:r>
        <w:rPr>
          <w:rFonts w:asciiTheme="majorBidi" w:hAnsiTheme="majorBidi" w:cstheme="majorBidi"/>
          <w:sz w:val="32"/>
          <w:szCs w:val="32"/>
        </w:rPr>
        <w:drawing>
          <wp:inline distT="0" distB="0" distL="0" distR="0">
            <wp:extent cx="2190750" cy="4714875"/>
            <wp:effectExtent l="0" t="0" r="0" b="0"/>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4"/>
                    <pic:cNvPicPr>
                      <a:picLocks noChangeAspect="1" noChangeArrowheads="1"/>
                    </pic:cNvPicPr>
                  </pic:nvPicPr>
                  <pic:blipFill>
                    <a:blip r:embed="rId9"/>
                    <a:srcRect/>
                    <a:stretch>
                      <a:fillRect/>
                    </a:stretch>
                  </pic:blipFill>
                  <pic:spPr>
                    <a:xfrm>
                      <a:off x="0" y="0"/>
                      <a:ext cx="2190750" cy="4714875"/>
                    </a:xfrm>
                    <a:prstGeom prst="rect">
                      <a:avLst/>
                    </a:prstGeom>
                  </pic:spPr>
                </pic:pic>
              </a:graphicData>
            </a:graphic>
          </wp:inline>
        </w:drawing>
      </w:r>
    </w:p>
    <w:p w14:paraId="3B9CCBFA">
      <w:pPr>
        <w:spacing w:after="200" w:line="360" w:lineRule="auto"/>
        <w:jc w:val="center"/>
        <w:rPr>
          <w:rFonts w:asciiTheme="majorBidi" w:hAnsiTheme="majorBidi" w:cstheme="majorBidi"/>
          <w:sz w:val="32"/>
          <w:szCs w:val="32"/>
        </w:rPr>
      </w:pPr>
      <w:r>
        <w:rPr>
          <w:rFonts w:asciiTheme="majorBidi" w:hAnsiTheme="majorBidi" w:cstheme="majorBidi"/>
          <w:i/>
          <w:iCs/>
          <w:sz w:val="32"/>
          <w:szCs w:val="32"/>
        </w:rPr>
        <w:t>Figure 4. Evidence-to-Framework Development Pathway. The developmental path from the literature review through case-corpus coding and cross-case comparison to the proposed HCCCPF.</w:t>
      </w:r>
    </w:p>
    <w:p w14:paraId="67CB8C68">
      <w:pPr>
        <w:spacing w:after="200" w:line="360" w:lineRule="auto"/>
        <w:jc w:val="both"/>
        <w:rPr>
          <w:rFonts w:asciiTheme="majorBidi" w:hAnsiTheme="majorBidi" w:cstheme="majorBidi"/>
          <w:sz w:val="32"/>
          <w:szCs w:val="32"/>
        </w:rPr>
      </w:pPr>
      <w:r>
        <w:rPr>
          <w:rFonts w:asciiTheme="majorBidi" w:hAnsiTheme="majorBidi" w:cstheme="majorBidi"/>
          <w:sz w:val="32"/>
          <w:szCs w:val="32"/>
        </w:rPr>
        <w:t>Table 13 (Framework Derivation) below traces each HCCCPF component to the specific documents, codes, and theoretical basis that support it, distinguishing components that are directly evidenced from those that remain theoretically informed recommendations.</w:t>
      </w:r>
    </w:p>
    <w:p w14:paraId="2D68F415">
      <w:pPr>
        <w:spacing w:before="180" w:after="60"/>
      </w:pPr>
      <w:r>
        <w:rPr>
          <w:b/>
          <w:sz w:val="20"/>
        </w:rPr>
        <w:t>Table 13. Evidence-to-HCCCPF Derivation</w:t>
      </w:r>
    </w:p>
    <w:tbl>
      <w:tblPr>
        <w:tblStyle w:val="9"/>
        <w:tblW w:w="9350" w:type="dxa"/>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80"/>
        <w:gridCol w:w="2603"/>
        <w:gridCol w:w="940"/>
        <w:gridCol w:w="1109"/>
        <w:gridCol w:w="1532"/>
        <w:gridCol w:w="1696"/>
      </w:tblGrid>
      <w:tr w14:paraId="7955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shd w:val="clear" w:color="auto" w:fill="D9E2F3"/>
            <w:tcMar>
              <w:top w:w="90" w:type="dxa"/>
              <w:left w:w="90" w:type="dxa"/>
              <w:bottom w:w="90" w:type="dxa"/>
              <w:right w:w="90" w:type="dxa"/>
            </w:tcMar>
          </w:tcPr>
          <w:p w14:paraId="04321A9F">
            <w:pPr>
              <w:rPr>
                <w:rFonts w:asciiTheme="majorBidi" w:hAnsiTheme="majorBidi" w:cstheme="majorBidi"/>
                <w:sz w:val="32"/>
                <w:szCs w:val="32"/>
              </w:rPr>
            </w:pPr>
            <w:r>
              <w:rPr>
                <w:rFonts w:asciiTheme="majorBidi" w:hAnsiTheme="majorBidi" w:cstheme="majorBidi"/>
                <w:b/>
                <w:bCs/>
                <w:sz w:val="22"/>
                <w:szCs w:val="22"/>
              </w:rPr>
              <w:t>Framework component</w:t>
            </w:r>
          </w:p>
        </w:tc>
        <w:tc>
          <w:tcPr>
            <w:tcW w:w="2600" w:type="dxa"/>
            <w:shd w:val="clear" w:color="auto" w:fill="D9E2F3"/>
            <w:tcMar>
              <w:top w:w="90" w:type="dxa"/>
              <w:left w:w="90" w:type="dxa"/>
              <w:bottom w:w="90" w:type="dxa"/>
              <w:right w:w="90" w:type="dxa"/>
            </w:tcMar>
          </w:tcPr>
          <w:p w14:paraId="63D041DB">
            <w:pPr>
              <w:rPr>
                <w:rFonts w:asciiTheme="majorBidi" w:hAnsiTheme="majorBidi" w:cstheme="majorBidi"/>
                <w:sz w:val="32"/>
                <w:szCs w:val="32"/>
              </w:rPr>
            </w:pPr>
            <w:r>
              <w:rPr>
                <w:rFonts w:asciiTheme="majorBidi" w:hAnsiTheme="majorBidi" w:cstheme="majorBidi"/>
                <w:b/>
                <w:bCs/>
                <w:sz w:val="22"/>
                <w:szCs w:val="22"/>
              </w:rPr>
              <w:t>Empirical evidence</w:t>
            </w:r>
          </w:p>
        </w:tc>
        <w:tc>
          <w:tcPr>
            <w:tcW w:w="1100" w:type="dxa"/>
            <w:shd w:val="clear" w:color="auto" w:fill="D9E2F3"/>
            <w:tcMar>
              <w:top w:w="90" w:type="dxa"/>
              <w:left w:w="90" w:type="dxa"/>
              <w:bottom w:w="90" w:type="dxa"/>
              <w:right w:w="90" w:type="dxa"/>
            </w:tcMar>
          </w:tcPr>
          <w:p w14:paraId="0FD3A5C8">
            <w:pPr>
              <w:rPr>
                <w:rFonts w:asciiTheme="majorBidi" w:hAnsiTheme="majorBidi" w:cstheme="majorBidi"/>
                <w:sz w:val="32"/>
                <w:szCs w:val="32"/>
              </w:rPr>
            </w:pPr>
            <w:r>
              <w:rPr>
                <w:rFonts w:asciiTheme="majorBidi" w:hAnsiTheme="majorBidi" w:cstheme="majorBidi"/>
                <w:b/>
                <w:bCs/>
                <w:sz w:val="22"/>
                <w:szCs w:val="22"/>
              </w:rPr>
              <w:t>Case(s)</w:t>
            </w:r>
          </w:p>
        </w:tc>
        <w:tc>
          <w:tcPr>
            <w:tcW w:w="1000" w:type="dxa"/>
            <w:shd w:val="clear" w:color="auto" w:fill="D9E2F3"/>
            <w:tcMar>
              <w:top w:w="90" w:type="dxa"/>
              <w:left w:w="90" w:type="dxa"/>
              <w:bottom w:w="90" w:type="dxa"/>
              <w:right w:w="90" w:type="dxa"/>
            </w:tcMar>
          </w:tcPr>
          <w:p w14:paraId="2161446D">
            <w:pPr>
              <w:rPr>
                <w:rFonts w:asciiTheme="majorBidi" w:hAnsiTheme="majorBidi" w:cstheme="majorBidi"/>
                <w:sz w:val="32"/>
                <w:szCs w:val="32"/>
              </w:rPr>
            </w:pPr>
            <w:r>
              <w:rPr>
                <w:rFonts w:asciiTheme="majorBidi" w:hAnsiTheme="majorBidi" w:cstheme="majorBidi"/>
                <w:b/>
                <w:bCs/>
                <w:sz w:val="22"/>
                <w:szCs w:val="22"/>
              </w:rPr>
              <w:t>Coding categories</w:t>
            </w:r>
          </w:p>
        </w:tc>
        <w:tc>
          <w:tcPr>
            <w:tcW w:w="1600" w:type="dxa"/>
            <w:shd w:val="clear" w:color="auto" w:fill="D9E2F3"/>
            <w:tcMar>
              <w:top w:w="90" w:type="dxa"/>
              <w:left w:w="90" w:type="dxa"/>
              <w:bottom w:w="90" w:type="dxa"/>
              <w:right w:w="90" w:type="dxa"/>
            </w:tcMar>
          </w:tcPr>
          <w:p w14:paraId="052AB9EB">
            <w:pPr>
              <w:rPr>
                <w:rFonts w:asciiTheme="majorBidi" w:hAnsiTheme="majorBidi" w:cstheme="majorBidi"/>
                <w:sz w:val="32"/>
                <w:szCs w:val="32"/>
              </w:rPr>
            </w:pPr>
            <w:r>
              <w:rPr>
                <w:rFonts w:asciiTheme="majorBidi" w:hAnsiTheme="majorBidi" w:cstheme="majorBidi"/>
                <w:b/>
                <w:bCs/>
                <w:sz w:val="22"/>
                <w:szCs w:val="22"/>
              </w:rPr>
              <w:t>Theoretical basis</w:t>
            </w:r>
          </w:p>
        </w:tc>
        <w:tc>
          <w:tcPr>
            <w:tcW w:w="1550" w:type="dxa"/>
            <w:shd w:val="clear" w:color="auto" w:fill="D9E2F3"/>
            <w:tcMar>
              <w:top w:w="90" w:type="dxa"/>
              <w:left w:w="90" w:type="dxa"/>
              <w:bottom w:w="90" w:type="dxa"/>
              <w:right w:w="90" w:type="dxa"/>
            </w:tcMar>
          </w:tcPr>
          <w:p w14:paraId="557E7720">
            <w:pPr>
              <w:rPr>
                <w:rFonts w:asciiTheme="majorBidi" w:hAnsiTheme="majorBidi" w:cstheme="majorBidi"/>
                <w:sz w:val="32"/>
                <w:szCs w:val="32"/>
              </w:rPr>
            </w:pPr>
            <w:r>
              <w:rPr>
                <w:rFonts w:asciiTheme="majorBidi" w:hAnsiTheme="majorBidi" w:cstheme="majorBidi"/>
                <w:b/>
                <w:bCs/>
                <w:sz w:val="22"/>
                <w:szCs w:val="22"/>
              </w:rPr>
              <w:t>Status</w:t>
            </w:r>
          </w:p>
        </w:tc>
      </w:tr>
      <w:tr w14:paraId="481AA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Mar>
              <w:top w:w="90" w:type="dxa"/>
              <w:left w:w="90" w:type="dxa"/>
              <w:bottom w:w="90" w:type="dxa"/>
              <w:right w:w="90" w:type="dxa"/>
            </w:tcMar>
          </w:tcPr>
          <w:p w14:paraId="49C8C798">
            <w:pPr>
              <w:rPr>
                <w:rFonts w:asciiTheme="majorBidi" w:hAnsiTheme="majorBidi" w:cstheme="majorBidi"/>
                <w:sz w:val="32"/>
                <w:szCs w:val="32"/>
              </w:rPr>
            </w:pPr>
            <w:r>
              <w:rPr>
                <w:rFonts w:asciiTheme="majorBidi" w:hAnsiTheme="majorBidi" w:cstheme="majorBidi"/>
                <w:sz w:val="22"/>
                <w:szCs w:val="22"/>
              </w:rPr>
              <w:t>0. Pre-Crisis Preparedness</w:t>
            </w:r>
          </w:p>
        </w:tc>
        <w:tc>
          <w:tcPr>
            <w:tcW w:w="2600" w:type="dxa"/>
            <w:tcMar>
              <w:top w:w="90" w:type="dxa"/>
              <w:left w:w="90" w:type="dxa"/>
              <w:bottom w:w="90" w:type="dxa"/>
              <w:right w:w="90" w:type="dxa"/>
            </w:tcMar>
          </w:tcPr>
          <w:p w14:paraId="13E2DFA2">
            <w:pPr>
              <w:rPr>
                <w:rFonts w:asciiTheme="majorBidi" w:hAnsiTheme="majorBidi" w:cstheme="majorBidi"/>
                <w:sz w:val="32"/>
                <w:szCs w:val="32"/>
              </w:rPr>
            </w:pPr>
            <w:r>
              <w:rPr>
                <w:rFonts w:asciiTheme="majorBidi" w:hAnsiTheme="majorBidi" w:cstheme="majorBidi"/>
                <w:sz w:val="22"/>
                <w:szCs w:val="22"/>
              </w:rPr>
              <w:t>Neither corpus documents pre-breach preparedness communication directly (by definition, preparedness precedes public communication)</w:t>
            </w:r>
          </w:p>
        </w:tc>
        <w:tc>
          <w:tcPr>
            <w:tcW w:w="1100" w:type="dxa"/>
            <w:tcMar>
              <w:top w:w="90" w:type="dxa"/>
              <w:left w:w="90" w:type="dxa"/>
              <w:bottom w:w="90" w:type="dxa"/>
              <w:right w:w="90" w:type="dxa"/>
            </w:tcMar>
          </w:tcPr>
          <w:p w14:paraId="37962386">
            <w:pPr>
              <w:rPr>
                <w:rFonts w:asciiTheme="majorBidi" w:hAnsiTheme="majorBidi" w:cstheme="majorBidi"/>
                <w:sz w:val="32"/>
                <w:szCs w:val="32"/>
              </w:rPr>
            </w:pPr>
            <w:r>
              <w:rPr>
                <w:rFonts w:asciiTheme="majorBidi" w:hAnsiTheme="majorBidi" w:cstheme="majorBidi"/>
                <w:sz w:val="22"/>
                <w:szCs w:val="22"/>
              </w:rPr>
              <w:t>N/A</w:t>
            </w:r>
          </w:p>
        </w:tc>
        <w:tc>
          <w:tcPr>
            <w:tcW w:w="1000" w:type="dxa"/>
            <w:tcMar>
              <w:top w:w="90" w:type="dxa"/>
              <w:left w:w="90" w:type="dxa"/>
              <w:bottom w:w="90" w:type="dxa"/>
              <w:right w:w="90" w:type="dxa"/>
            </w:tcMar>
          </w:tcPr>
          <w:p w14:paraId="69876D0F">
            <w:pPr>
              <w:rPr>
                <w:rFonts w:asciiTheme="majorBidi" w:hAnsiTheme="majorBidi" w:cstheme="majorBidi"/>
                <w:sz w:val="32"/>
                <w:szCs w:val="32"/>
              </w:rPr>
            </w:pPr>
            <w:r>
              <w:rPr>
                <w:rFonts w:asciiTheme="majorBidi" w:hAnsiTheme="majorBidi" w:cstheme="majorBidi"/>
                <w:sz w:val="22"/>
                <w:szCs w:val="22"/>
              </w:rPr>
              <w:t>N/A</w:t>
            </w:r>
          </w:p>
        </w:tc>
        <w:tc>
          <w:tcPr>
            <w:tcW w:w="1600" w:type="dxa"/>
            <w:tcMar>
              <w:top w:w="90" w:type="dxa"/>
              <w:left w:w="90" w:type="dxa"/>
              <w:bottom w:w="90" w:type="dxa"/>
              <w:right w:w="90" w:type="dxa"/>
            </w:tcMar>
          </w:tcPr>
          <w:p w14:paraId="6368C743">
            <w:pPr>
              <w:rPr>
                <w:rFonts w:asciiTheme="majorBidi" w:hAnsiTheme="majorBidi" w:cstheme="majorBidi"/>
                <w:sz w:val="32"/>
                <w:szCs w:val="32"/>
              </w:rPr>
            </w:pPr>
            <w:r>
              <w:rPr>
                <w:rFonts w:asciiTheme="majorBidi" w:hAnsiTheme="majorBidi" w:cstheme="majorBidi"/>
                <w:sz w:val="22"/>
                <w:szCs w:val="22"/>
              </w:rPr>
              <w:t>SCCT (situational readiness); general crisis-management literature (Ndlela, 2019)</w:t>
            </w:r>
          </w:p>
        </w:tc>
        <w:tc>
          <w:tcPr>
            <w:tcW w:w="1550" w:type="dxa"/>
            <w:tcMar>
              <w:top w:w="90" w:type="dxa"/>
              <w:left w:w="90" w:type="dxa"/>
              <w:bottom w:w="90" w:type="dxa"/>
              <w:right w:w="90" w:type="dxa"/>
            </w:tcMar>
          </w:tcPr>
          <w:p w14:paraId="03E5F44B">
            <w:pPr>
              <w:rPr>
                <w:rFonts w:asciiTheme="majorBidi" w:hAnsiTheme="majorBidi" w:cstheme="majorBidi"/>
                <w:sz w:val="32"/>
                <w:szCs w:val="32"/>
              </w:rPr>
            </w:pPr>
            <w:r>
              <w:rPr>
                <w:rFonts w:asciiTheme="majorBidi" w:hAnsiTheme="majorBidi" w:cstheme="majorBidi"/>
                <w:sz w:val="22"/>
                <w:szCs w:val="22"/>
              </w:rPr>
              <w:t>Theoretically informed recommendation, not directly evidenced</w:t>
            </w:r>
          </w:p>
        </w:tc>
      </w:tr>
      <w:tr w14:paraId="312E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Mar>
              <w:top w:w="90" w:type="dxa"/>
              <w:left w:w="90" w:type="dxa"/>
              <w:bottom w:w="90" w:type="dxa"/>
              <w:right w:w="90" w:type="dxa"/>
            </w:tcMar>
          </w:tcPr>
          <w:p w14:paraId="0AC50482">
            <w:pPr>
              <w:rPr>
                <w:rFonts w:asciiTheme="majorBidi" w:hAnsiTheme="majorBidi" w:cstheme="majorBidi"/>
                <w:sz w:val="32"/>
                <w:szCs w:val="32"/>
              </w:rPr>
            </w:pPr>
            <w:r>
              <w:rPr>
                <w:rFonts w:asciiTheme="majorBidi" w:hAnsiTheme="majorBidi" w:cstheme="majorBidi"/>
                <w:sz w:val="22"/>
                <w:szCs w:val="22"/>
              </w:rPr>
              <w:t>1. Detection &amp; Verification</w:t>
            </w:r>
          </w:p>
        </w:tc>
        <w:tc>
          <w:tcPr>
            <w:tcW w:w="2600" w:type="dxa"/>
            <w:tcMar>
              <w:top w:w="90" w:type="dxa"/>
              <w:left w:w="90" w:type="dxa"/>
              <w:bottom w:w="90" w:type="dxa"/>
              <w:right w:w="90" w:type="dxa"/>
            </w:tcMar>
          </w:tcPr>
          <w:p w14:paraId="4CA7E132">
            <w:pPr>
              <w:rPr>
                <w:rFonts w:asciiTheme="majorBidi" w:hAnsiTheme="majorBidi" w:cstheme="majorBidi"/>
                <w:sz w:val="32"/>
                <w:szCs w:val="32"/>
              </w:rPr>
            </w:pPr>
            <w:r>
              <w:rPr>
                <w:rFonts w:asciiTheme="majorBidi" w:hAnsiTheme="majorBidi" w:cstheme="majorBidi"/>
                <w:sz w:val="22"/>
                <w:szCs w:val="22"/>
              </w:rPr>
              <w:t>ICRC explicitly dates detection (18 Jan 2022) separately from intrusion (9 Nov 2021); WFP dates detection/attack to 14 May 2026</w:t>
            </w:r>
          </w:p>
        </w:tc>
        <w:tc>
          <w:tcPr>
            <w:tcW w:w="1100" w:type="dxa"/>
            <w:tcMar>
              <w:top w:w="90" w:type="dxa"/>
              <w:left w:w="90" w:type="dxa"/>
              <w:bottom w:w="90" w:type="dxa"/>
              <w:right w:w="90" w:type="dxa"/>
            </w:tcMar>
          </w:tcPr>
          <w:p w14:paraId="1C3392AB">
            <w:pPr>
              <w:rPr>
                <w:rFonts w:asciiTheme="majorBidi" w:hAnsiTheme="majorBidi" w:cstheme="majorBidi"/>
                <w:sz w:val="32"/>
                <w:szCs w:val="32"/>
              </w:rPr>
            </w:pPr>
            <w:r>
              <w:rPr>
                <w:rFonts w:asciiTheme="majorBidi" w:hAnsiTheme="majorBidi" w:cstheme="majorBidi"/>
                <w:sz w:val="22"/>
                <w:szCs w:val="22"/>
              </w:rPr>
              <w:t>ICRC-04; WFP-02, WFP-04</w:t>
            </w:r>
          </w:p>
        </w:tc>
        <w:tc>
          <w:tcPr>
            <w:tcW w:w="1000" w:type="dxa"/>
            <w:tcMar>
              <w:top w:w="90" w:type="dxa"/>
              <w:left w:w="90" w:type="dxa"/>
              <w:bottom w:w="90" w:type="dxa"/>
              <w:right w:w="90" w:type="dxa"/>
            </w:tcMar>
          </w:tcPr>
          <w:p w14:paraId="6BA2C0CD">
            <w:pPr>
              <w:rPr>
                <w:rFonts w:asciiTheme="majorBidi" w:hAnsiTheme="majorBidi" w:cstheme="majorBidi"/>
                <w:sz w:val="32"/>
                <w:szCs w:val="32"/>
              </w:rPr>
            </w:pPr>
            <w:r>
              <w:rPr>
                <w:rFonts w:asciiTheme="majorBidi" w:hAnsiTheme="majorBidi" w:cstheme="majorBidi"/>
                <w:sz w:val="22"/>
                <w:szCs w:val="22"/>
              </w:rPr>
              <w:t>CA, UM</w:t>
            </w:r>
          </w:p>
        </w:tc>
        <w:tc>
          <w:tcPr>
            <w:tcW w:w="1600" w:type="dxa"/>
            <w:tcMar>
              <w:top w:w="90" w:type="dxa"/>
              <w:left w:w="90" w:type="dxa"/>
              <w:bottom w:w="90" w:type="dxa"/>
              <w:right w:w="90" w:type="dxa"/>
            </w:tcMar>
          </w:tcPr>
          <w:p w14:paraId="57729784">
            <w:pPr>
              <w:rPr>
                <w:rFonts w:asciiTheme="majorBidi" w:hAnsiTheme="majorBidi" w:cstheme="majorBidi"/>
                <w:sz w:val="32"/>
                <w:szCs w:val="32"/>
              </w:rPr>
            </w:pPr>
            <w:r>
              <w:rPr>
                <w:rFonts w:asciiTheme="majorBidi" w:hAnsiTheme="majorBidi" w:cstheme="majorBidi"/>
                <w:sz w:val="22"/>
                <w:szCs w:val="22"/>
              </w:rPr>
              <w:t>Risk/crisis communication literature (Ruohonen et al., 2024)</w:t>
            </w:r>
          </w:p>
        </w:tc>
        <w:tc>
          <w:tcPr>
            <w:tcW w:w="1550" w:type="dxa"/>
            <w:tcMar>
              <w:top w:w="90" w:type="dxa"/>
              <w:left w:w="90" w:type="dxa"/>
              <w:bottom w:w="90" w:type="dxa"/>
              <w:right w:w="90" w:type="dxa"/>
            </w:tcMar>
          </w:tcPr>
          <w:p w14:paraId="42F3DC66">
            <w:pPr>
              <w:rPr>
                <w:rFonts w:asciiTheme="majorBidi" w:hAnsiTheme="majorBidi" w:cstheme="majorBidi"/>
                <w:sz w:val="32"/>
                <w:szCs w:val="32"/>
              </w:rPr>
            </w:pPr>
            <w:r>
              <w:rPr>
                <w:rFonts w:asciiTheme="majorBidi" w:hAnsiTheme="majorBidi" w:cstheme="majorBidi"/>
                <w:sz w:val="22"/>
                <w:szCs w:val="22"/>
              </w:rPr>
              <w:t>Empirically evidenced (ICRC); partially evidenced (WFP)</w:t>
            </w:r>
          </w:p>
        </w:tc>
      </w:tr>
      <w:tr w14:paraId="68B7F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Mar>
              <w:top w:w="90" w:type="dxa"/>
              <w:left w:w="90" w:type="dxa"/>
              <w:bottom w:w="90" w:type="dxa"/>
              <w:right w:w="90" w:type="dxa"/>
            </w:tcMar>
          </w:tcPr>
          <w:p w14:paraId="6D1B1BDB">
            <w:pPr>
              <w:rPr>
                <w:rFonts w:asciiTheme="majorBidi" w:hAnsiTheme="majorBidi" w:cstheme="majorBidi"/>
                <w:sz w:val="32"/>
                <w:szCs w:val="32"/>
              </w:rPr>
            </w:pPr>
            <w:r>
              <w:rPr>
                <w:rFonts w:asciiTheme="majorBidi" w:hAnsiTheme="majorBidi" w:cstheme="majorBidi"/>
                <w:sz w:val="22"/>
                <w:szCs w:val="22"/>
              </w:rPr>
              <w:t>2. Initial Communication (Acknowledge &amp; Protect)</w:t>
            </w:r>
          </w:p>
        </w:tc>
        <w:tc>
          <w:tcPr>
            <w:tcW w:w="2600" w:type="dxa"/>
            <w:tcMar>
              <w:top w:w="90" w:type="dxa"/>
              <w:left w:w="90" w:type="dxa"/>
              <w:bottom w:w="90" w:type="dxa"/>
              <w:right w:w="90" w:type="dxa"/>
            </w:tcMar>
          </w:tcPr>
          <w:p w14:paraId="203969A7">
            <w:pPr>
              <w:rPr>
                <w:rFonts w:asciiTheme="majorBidi" w:hAnsiTheme="majorBidi" w:cstheme="majorBidi"/>
                <w:sz w:val="32"/>
                <w:szCs w:val="32"/>
              </w:rPr>
            </w:pPr>
            <w:r>
              <w:rPr>
                <w:rFonts w:asciiTheme="majorBidi" w:hAnsiTheme="majorBidi" w:cstheme="majorBidi"/>
                <w:sz w:val="22"/>
                <w:szCs w:val="22"/>
              </w:rPr>
              <w:t>Both corpora show acknowledgement in the first public communication, paired with beneficiary-directed guidance</w:t>
            </w:r>
          </w:p>
        </w:tc>
        <w:tc>
          <w:tcPr>
            <w:tcW w:w="1100" w:type="dxa"/>
            <w:tcMar>
              <w:top w:w="90" w:type="dxa"/>
              <w:left w:w="90" w:type="dxa"/>
              <w:bottom w:w="90" w:type="dxa"/>
              <w:right w:w="90" w:type="dxa"/>
            </w:tcMar>
          </w:tcPr>
          <w:p w14:paraId="6BEE2D1C">
            <w:pPr>
              <w:rPr>
                <w:rFonts w:asciiTheme="majorBidi" w:hAnsiTheme="majorBidi" w:cstheme="majorBidi"/>
                <w:sz w:val="32"/>
                <w:szCs w:val="32"/>
              </w:rPr>
            </w:pPr>
            <w:r>
              <w:rPr>
                <w:rFonts w:asciiTheme="majorBidi" w:hAnsiTheme="majorBidi" w:cstheme="majorBidi"/>
                <w:sz w:val="22"/>
                <w:szCs w:val="22"/>
              </w:rPr>
              <w:t>ICRC-01, ICRC-05; WFP-01</w:t>
            </w:r>
          </w:p>
        </w:tc>
        <w:tc>
          <w:tcPr>
            <w:tcW w:w="1000" w:type="dxa"/>
            <w:tcMar>
              <w:top w:w="90" w:type="dxa"/>
              <w:left w:w="90" w:type="dxa"/>
              <w:bottom w:w="90" w:type="dxa"/>
              <w:right w:w="90" w:type="dxa"/>
            </w:tcMar>
          </w:tcPr>
          <w:p w14:paraId="4F7D6443">
            <w:pPr>
              <w:rPr>
                <w:rFonts w:asciiTheme="majorBidi" w:hAnsiTheme="majorBidi" w:cstheme="majorBidi"/>
                <w:sz w:val="32"/>
                <w:szCs w:val="32"/>
              </w:rPr>
            </w:pPr>
            <w:r>
              <w:rPr>
                <w:rFonts w:asciiTheme="majorBidi" w:hAnsiTheme="majorBidi" w:cstheme="majorBidi"/>
                <w:sz w:val="22"/>
                <w:szCs w:val="22"/>
              </w:rPr>
              <w:t>CA, BPG</w:t>
            </w:r>
          </w:p>
        </w:tc>
        <w:tc>
          <w:tcPr>
            <w:tcW w:w="1600" w:type="dxa"/>
            <w:tcMar>
              <w:top w:w="90" w:type="dxa"/>
              <w:left w:w="90" w:type="dxa"/>
              <w:bottom w:w="90" w:type="dxa"/>
              <w:right w:w="90" w:type="dxa"/>
            </w:tcMar>
          </w:tcPr>
          <w:p w14:paraId="4233A4EF">
            <w:pPr>
              <w:rPr>
                <w:rFonts w:asciiTheme="majorBidi" w:hAnsiTheme="majorBidi" w:cstheme="majorBidi"/>
                <w:sz w:val="32"/>
                <w:szCs w:val="32"/>
              </w:rPr>
            </w:pPr>
            <w:r>
              <w:rPr>
                <w:rFonts w:asciiTheme="majorBidi" w:hAnsiTheme="majorBidi" w:cstheme="majorBidi"/>
                <w:sz w:val="22"/>
                <w:szCs w:val="22"/>
              </w:rPr>
              <w:t>SCCT (initial response strategy)</w:t>
            </w:r>
          </w:p>
        </w:tc>
        <w:tc>
          <w:tcPr>
            <w:tcW w:w="1550" w:type="dxa"/>
            <w:tcMar>
              <w:top w:w="90" w:type="dxa"/>
              <w:left w:w="90" w:type="dxa"/>
              <w:bottom w:w="90" w:type="dxa"/>
              <w:right w:w="90" w:type="dxa"/>
            </w:tcMar>
          </w:tcPr>
          <w:p w14:paraId="6273BCE3">
            <w:pPr>
              <w:rPr>
                <w:rFonts w:asciiTheme="majorBidi" w:hAnsiTheme="majorBidi" w:cstheme="majorBidi"/>
                <w:sz w:val="32"/>
                <w:szCs w:val="32"/>
              </w:rPr>
            </w:pPr>
            <w:r>
              <w:rPr>
                <w:rFonts w:asciiTheme="majorBidi" w:hAnsiTheme="majorBidi" w:cstheme="majorBidi"/>
                <w:sz w:val="22"/>
                <w:szCs w:val="22"/>
              </w:rPr>
              <w:t>Empirically evidenced in both cases</w:t>
            </w:r>
          </w:p>
        </w:tc>
      </w:tr>
      <w:tr w14:paraId="3A115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Mar>
              <w:top w:w="90" w:type="dxa"/>
              <w:left w:w="90" w:type="dxa"/>
              <w:bottom w:w="90" w:type="dxa"/>
              <w:right w:w="90" w:type="dxa"/>
            </w:tcMar>
          </w:tcPr>
          <w:p w14:paraId="0A1E7D65">
            <w:pPr>
              <w:rPr>
                <w:rFonts w:asciiTheme="majorBidi" w:hAnsiTheme="majorBidi" w:cstheme="majorBidi"/>
                <w:sz w:val="32"/>
                <w:szCs w:val="32"/>
              </w:rPr>
            </w:pPr>
            <w:r>
              <w:rPr>
                <w:rFonts w:asciiTheme="majorBidi" w:hAnsiTheme="majorBidi" w:cstheme="majorBidi"/>
                <w:sz w:val="22"/>
                <w:szCs w:val="22"/>
              </w:rPr>
              <w:t>3. Accountability &amp; Protection-Bounded Transparency</w:t>
            </w:r>
          </w:p>
        </w:tc>
        <w:tc>
          <w:tcPr>
            <w:tcW w:w="2600" w:type="dxa"/>
            <w:tcMar>
              <w:top w:w="90" w:type="dxa"/>
              <w:left w:w="90" w:type="dxa"/>
              <w:bottom w:w="90" w:type="dxa"/>
              <w:right w:w="90" w:type="dxa"/>
            </w:tcMar>
          </w:tcPr>
          <w:p w14:paraId="6E041A34">
            <w:pPr>
              <w:rPr>
                <w:rFonts w:asciiTheme="majorBidi" w:hAnsiTheme="majorBidi" w:cstheme="majorBidi"/>
                <w:sz w:val="32"/>
                <w:szCs w:val="32"/>
              </w:rPr>
            </w:pPr>
            <w:r>
              <w:rPr>
                <w:rFonts w:asciiTheme="majorBidi" w:hAnsiTheme="majorBidi" w:cstheme="majorBidi"/>
                <w:sz w:val="22"/>
                <w:szCs w:val="22"/>
              </w:rPr>
              <w:t>ICRC states an explicit accountability rationale (ICRC-03: 'responsibility...accountable to our partners and the people we serve') and an explicit protection-based non-disclosure rationale (ICRC-04); WFP's internal guidance limits explanation without a stated rationale (Section 12.4)</w:t>
            </w:r>
          </w:p>
        </w:tc>
        <w:tc>
          <w:tcPr>
            <w:tcW w:w="1100" w:type="dxa"/>
            <w:tcMar>
              <w:top w:w="90" w:type="dxa"/>
              <w:left w:w="90" w:type="dxa"/>
              <w:bottom w:w="90" w:type="dxa"/>
              <w:right w:w="90" w:type="dxa"/>
            </w:tcMar>
          </w:tcPr>
          <w:p w14:paraId="4F7759BC">
            <w:pPr>
              <w:rPr>
                <w:rFonts w:asciiTheme="majorBidi" w:hAnsiTheme="majorBidi" w:cstheme="majorBidi"/>
                <w:sz w:val="32"/>
                <w:szCs w:val="32"/>
              </w:rPr>
            </w:pPr>
            <w:r>
              <w:rPr>
                <w:rFonts w:asciiTheme="majorBidi" w:hAnsiTheme="majorBidi" w:cstheme="majorBidi"/>
                <w:sz w:val="22"/>
                <w:szCs w:val="22"/>
              </w:rPr>
              <w:t>ICRC-03, ICRC-04; WFP internal directive (via TNH, 29 Jul 2026)</w:t>
            </w:r>
          </w:p>
        </w:tc>
        <w:tc>
          <w:tcPr>
            <w:tcW w:w="1000" w:type="dxa"/>
            <w:tcMar>
              <w:top w:w="90" w:type="dxa"/>
              <w:left w:w="90" w:type="dxa"/>
              <w:bottom w:w="90" w:type="dxa"/>
              <w:right w:w="90" w:type="dxa"/>
            </w:tcMar>
          </w:tcPr>
          <w:p w14:paraId="63DA3A6F">
            <w:pPr>
              <w:rPr>
                <w:rFonts w:asciiTheme="majorBidi" w:hAnsiTheme="majorBidi" w:cstheme="majorBidi"/>
                <w:sz w:val="32"/>
                <w:szCs w:val="32"/>
              </w:rPr>
            </w:pPr>
            <w:r>
              <w:rPr>
                <w:rFonts w:asciiTheme="majorBidi" w:hAnsiTheme="majorBidi" w:cstheme="majorBidi"/>
                <w:sz w:val="22"/>
                <w:szCs w:val="22"/>
              </w:rPr>
              <w:t>RAF, PBR, TE</w:t>
            </w:r>
          </w:p>
        </w:tc>
        <w:tc>
          <w:tcPr>
            <w:tcW w:w="1600" w:type="dxa"/>
            <w:tcMar>
              <w:top w:w="90" w:type="dxa"/>
              <w:left w:w="90" w:type="dxa"/>
              <w:bottom w:w="90" w:type="dxa"/>
              <w:right w:w="90" w:type="dxa"/>
            </w:tcMar>
          </w:tcPr>
          <w:p w14:paraId="116DB3EF">
            <w:pPr>
              <w:rPr>
                <w:rFonts w:asciiTheme="majorBidi" w:hAnsiTheme="majorBidi" w:cstheme="majorBidi"/>
                <w:sz w:val="32"/>
                <w:szCs w:val="32"/>
              </w:rPr>
            </w:pPr>
            <w:r>
              <w:rPr>
                <w:rFonts w:asciiTheme="majorBidi" w:hAnsiTheme="majorBidi" w:cstheme="majorBidi"/>
                <w:sz w:val="22"/>
                <w:szCs w:val="22"/>
              </w:rPr>
              <w:t>IRT (accountability strategies); emergent constructs: Protection-Bounded Transparency, Institutional Reticence</w:t>
            </w:r>
          </w:p>
        </w:tc>
        <w:tc>
          <w:tcPr>
            <w:tcW w:w="1550" w:type="dxa"/>
            <w:tcMar>
              <w:top w:w="90" w:type="dxa"/>
              <w:left w:w="90" w:type="dxa"/>
              <w:bottom w:w="90" w:type="dxa"/>
              <w:right w:w="90" w:type="dxa"/>
            </w:tcMar>
          </w:tcPr>
          <w:p w14:paraId="69DC23F8">
            <w:pPr>
              <w:rPr>
                <w:rFonts w:asciiTheme="majorBidi" w:hAnsiTheme="majorBidi" w:cstheme="majorBidi"/>
                <w:sz w:val="32"/>
                <w:szCs w:val="32"/>
              </w:rPr>
            </w:pPr>
            <w:r>
              <w:rPr>
                <w:rFonts w:asciiTheme="majorBidi" w:hAnsiTheme="majorBidi" w:cstheme="majorBidi"/>
                <w:sz w:val="22"/>
                <w:szCs w:val="22"/>
              </w:rPr>
              <w:t>Most directly evidenced phase in the corpus</w:t>
            </w:r>
          </w:p>
        </w:tc>
      </w:tr>
      <w:tr w14:paraId="2BC43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Mar>
              <w:top w:w="90" w:type="dxa"/>
              <w:left w:w="90" w:type="dxa"/>
              <w:bottom w:w="90" w:type="dxa"/>
              <w:right w:w="90" w:type="dxa"/>
            </w:tcMar>
          </w:tcPr>
          <w:p w14:paraId="7DB6B303">
            <w:pPr>
              <w:rPr>
                <w:rFonts w:asciiTheme="majorBidi" w:hAnsiTheme="majorBidi" w:cstheme="majorBidi"/>
                <w:sz w:val="32"/>
                <w:szCs w:val="32"/>
              </w:rPr>
            </w:pPr>
            <w:r>
              <w:rPr>
                <w:rFonts w:asciiTheme="majorBidi" w:hAnsiTheme="majorBidi" w:cstheme="majorBidi"/>
                <w:sz w:val="22"/>
                <w:szCs w:val="22"/>
              </w:rPr>
              <w:t>4. Operational Continuity &amp; Trust</w:t>
            </w:r>
          </w:p>
        </w:tc>
        <w:tc>
          <w:tcPr>
            <w:tcW w:w="2600" w:type="dxa"/>
            <w:tcMar>
              <w:top w:w="90" w:type="dxa"/>
              <w:left w:w="90" w:type="dxa"/>
              <w:bottom w:w="90" w:type="dxa"/>
              <w:right w:w="90" w:type="dxa"/>
            </w:tcMar>
          </w:tcPr>
          <w:p w14:paraId="467A0A5E">
            <w:pPr>
              <w:rPr>
                <w:rFonts w:asciiTheme="majorBidi" w:hAnsiTheme="majorBidi" w:cstheme="majorBidi"/>
                <w:sz w:val="32"/>
                <w:szCs w:val="32"/>
              </w:rPr>
            </w:pPr>
            <w:r>
              <w:rPr>
                <w:rFonts w:asciiTheme="majorBidi" w:hAnsiTheme="majorBidi" w:cstheme="majorBidi"/>
                <w:sz w:val="22"/>
                <w:szCs w:val="22"/>
              </w:rPr>
              <w:t>Both corpora contain explicit continuity-of-assistance statements</w:t>
            </w:r>
          </w:p>
        </w:tc>
        <w:tc>
          <w:tcPr>
            <w:tcW w:w="1100" w:type="dxa"/>
            <w:tcMar>
              <w:top w:w="90" w:type="dxa"/>
              <w:left w:w="90" w:type="dxa"/>
              <w:bottom w:w="90" w:type="dxa"/>
              <w:right w:w="90" w:type="dxa"/>
            </w:tcMar>
          </w:tcPr>
          <w:p w14:paraId="7F5C158F">
            <w:pPr>
              <w:rPr>
                <w:rFonts w:asciiTheme="majorBidi" w:hAnsiTheme="majorBidi" w:cstheme="majorBidi"/>
                <w:sz w:val="32"/>
                <w:szCs w:val="32"/>
              </w:rPr>
            </w:pPr>
            <w:r>
              <w:rPr>
                <w:rFonts w:asciiTheme="majorBidi" w:hAnsiTheme="majorBidi" w:cstheme="majorBidi"/>
                <w:sz w:val="22"/>
                <w:szCs w:val="22"/>
              </w:rPr>
              <w:t>ICRC-01, ICRC-02, ICRC-05; WFP-01, WFP-04, WFP-05</w:t>
            </w:r>
          </w:p>
        </w:tc>
        <w:tc>
          <w:tcPr>
            <w:tcW w:w="1000" w:type="dxa"/>
            <w:tcMar>
              <w:top w:w="90" w:type="dxa"/>
              <w:left w:w="90" w:type="dxa"/>
              <w:bottom w:w="90" w:type="dxa"/>
              <w:right w:w="90" w:type="dxa"/>
            </w:tcMar>
          </w:tcPr>
          <w:p w14:paraId="55D2264F">
            <w:pPr>
              <w:rPr>
                <w:rFonts w:asciiTheme="majorBidi" w:hAnsiTheme="majorBidi" w:cstheme="majorBidi"/>
                <w:sz w:val="32"/>
                <w:szCs w:val="32"/>
              </w:rPr>
            </w:pPr>
            <w:r>
              <w:rPr>
                <w:rFonts w:asciiTheme="majorBidi" w:hAnsiTheme="majorBidi" w:cstheme="majorBidi"/>
                <w:sz w:val="22"/>
                <w:szCs w:val="22"/>
              </w:rPr>
              <w:t>OC, TOC</w:t>
            </w:r>
          </w:p>
        </w:tc>
        <w:tc>
          <w:tcPr>
            <w:tcW w:w="1600" w:type="dxa"/>
            <w:tcMar>
              <w:top w:w="90" w:type="dxa"/>
              <w:left w:w="90" w:type="dxa"/>
              <w:bottom w:w="90" w:type="dxa"/>
              <w:right w:w="90" w:type="dxa"/>
            </w:tcMar>
          </w:tcPr>
          <w:p w14:paraId="71106020">
            <w:pPr>
              <w:rPr>
                <w:rFonts w:asciiTheme="majorBidi" w:hAnsiTheme="majorBidi" w:cstheme="majorBidi"/>
                <w:sz w:val="32"/>
                <w:szCs w:val="32"/>
              </w:rPr>
            </w:pPr>
            <w:r>
              <w:rPr>
                <w:rFonts w:asciiTheme="majorBidi" w:hAnsiTheme="majorBidi" w:cstheme="majorBidi"/>
                <w:sz w:val="22"/>
                <w:szCs w:val="22"/>
              </w:rPr>
              <w:t>Emergent theme: Humanitarian Operational Continuity</w:t>
            </w:r>
          </w:p>
        </w:tc>
        <w:tc>
          <w:tcPr>
            <w:tcW w:w="1550" w:type="dxa"/>
            <w:tcMar>
              <w:top w:w="90" w:type="dxa"/>
              <w:left w:w="90" w:type="dxa"/>
              <w:bottom w:w="90" w:type="dxa"/>
              <w:right w:w="90" w:type="dxa"/>
            </w:tcMar>
          </w:tcPr>
          <w:p w14:paraId="279C1660">
            <w:pPr>
              <w:rPr>
                <w:rFonts w:asciiTheme="majorBidi" w:hAnsiTheme="majorBidi" w:cstheme="majorBidi"/>
                <w:sz w:val="32"/>
                <w:szCs w:val="32"/>
              </w:rPr>
            </w:pPr>
            <w:r>
              <w:rPr>
                <w:rFonts w:asciiTheme="majorBidi" w:hAnsiTheme="majorBidi" w:cstheme="majorBidi"/>
                <w:sz w:val="22"/>
                <w:szCs w:val="22"/>
              </w:rPr>
              <w:t>Empirically evidenced in both cases</w:t>
            </w:r>
          </w:p>
        </w:tc>
      </w:tr>
      <w:tr w14:paraId="18FB2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Mar>
              <w:top w:w="90" w:type="dxa"/>
              <w:left w:w="90" w:type="dxa"/>
              <w:bottom w:w="90" w:type="dxa"/>
              <w:right w:w="90" w:type="dxa"/>
            </w:tcMar>
          </w:tcPr>
          <w:p w14:paraId="315F523C">
            <w:pPr>
              <w:rPr>
                <w:rFonts w:asciiTheme="majorBidi" w:hAnsiTheme="majorBidi" w:cstheme="majorBidi"/>
                <w:sz w:val="32"/>
                <w:szCs w:val="32"/>
              </w:rPr>
            </w:pPr>
            <w:r>
              <w:rPr>
                <w:rFonts w:asciiTheme="majorBidi" w:hAnsiTheme="majorBidi" w:cstheme="majorBidi"/>
                <w:sz w:val="22"/>
                <w:szCs w:val="22"/>
              </w:rPr>
              <w:t>5. Recovery, Learning &amp; Resilience</w:t>
            </w:r>
          </w:p>
        </w:tc>
        <w:tc>
          <w:tcPr>
            <w:tcW w:w="2600" w:type="dxa"/>
            <w:tcMar>
              <w:top w:w="90" w:type="dxa"/>
              <w:left w:w="90" w:type="dxa"/>
              <w:bottom w:w="90" w:type="dxa"/>
              <w:right w:w="90" w:type="dxa"/>
            </w:tcMar>
          </w:tcPr>
          <w:p w14:paraId="0A6C74D0">
            <w:pPr>
              <w:rPr>
                <w:rFonts w:asciiTheme="majorBidi" w:hAnsiTheme="majorBidi" w:cstheme="majorBidi"/>
                <w:sz w:val="32"/>
                <w:szCs w:val="32"/>
              </w:rPr>
            </w:pPr>
            <w:r>
              <w:rPr>
                <w:rFonts w:asciiTheme="majorBidi" w:hAnsiTheme="majorBidi" w:cstheme="majorBidi"/>
                <w:sz w:val="22"/>
                <w:szCs w:val="22"/>
              </w:rPr>
              <w:t>ICRC documents security hardening and relaunch with enhancements (ICRC-04); WFP documents an app restart with strengthened security posture but no published lessons-learned document (WFP-05)</w:t>
            </w:r>
          </w:p>
        </w:tc>
        <w:tc>
          <w:tcPr>
            <w:tcW w:w="1100" w:type="dxa"/>
            <w:tcMar>
              <w:top w:w="90" w:type="dxa"/>
              <w:left w:w="90" w:type="dxa"/>
              <w:bottom w:w="90" w:type="dxa"/>
              <w:right w:w="90" w:type="dxa"/>
            </w:tcMar>
          </w:tcPr>
          <w:p w14:paraId="3AEA3DA2">
            <w:pPr>
              <w:rPr>
                <w:rFonts w:asciiTheme="majorBidi" w:hAnsiTheme="majorBidi" w:cstheme="majorBidi"/>
                <w:sz w:val="32"/>
                <w:szCs w:val="32"/>
              </w:rPr>
            </w:pPr>
            <w:r>
              <w:rPr>
                <w:rFonts w:asciiTheme="majorBidi" w:hAnsiTheme="majorBidi" w:cstheme="majorBidi"/>
                <w:sz w:val="22"/>
                <w:szCs w:val="22"/>
              </w:rPr>
              <w:t>ICRC-04; WFP-05</w:t>
            </w:r>
          </w:p>
        </w:tc>
        <w:tc>
          <w:tcPr>
            <w:tcW w:w="1000" w:type="dxa"/>
            <w:tcMar>
              <w:top w:w="90" w:type="dxa"/>
              <w:left w:w="90" w:type="dxa"/>
              <w:bottom w:w="90" w:type="dxa"/>
              <w:right w:w="90" w:type="dxa"/>
            </w:tcMar>
          </w:tcPr>
          <w:p w14:paraId="4D4AE377">
            <w:pPr>
              <w:rPr>
                <w:rFonts w:asciiTheme="majorBidi" w:hAnsiTheme="majorBidi" w:cstheme="majorBidi"/>
                <w:sz w:val="32"/>
                <w:szCs w:val="32"/>
              </w:rPr>
            </w:pPr>
            <w:r>
              <w:rPr>
                <w:rFonts w:asciiTheme="majorBidi" w:hAnsiTheme="majorBidi" w:cstheme="majorBidi"/>
                <w:sz w:val="22"/>
                <w:szCs w:val="22"/>
              </w:rPr>
              <w:t>FP</w:t>
            </w:r>
          </w:p>
        </w:tc>
        <w:tc>
          <w:tcPr>
            <w:tcW w:w="1600" w:type="dxa"/>
            <w:tcMar>
              <w:top w:w="90" w:type="dxa"/>
              <w:left w:w="90" w:type="dxa"/>
              <w:bottom w:w="90" w:type="dxa"/>
              <w:right w:w="90" w:type="dxa"/>
            </w:tcMar>
          </w:tcPr>
          <w:p w14:paraId="44AA1C19">
            <w:pPr>
              <w:rPr>
                <w:rFonts w:asciiTheme="majorBidi" w:hAnsiTheme="majorBidi" w:cstheme="majorBidi"/>
                <w:sz w:val="32"/>
                <w:szCs w:val="32"/>
              </w:rPr>
            </w:pPr>
            <w:r>
              <w:rPr>
                <w:rFonts w:asciiTheme="majorBidi" w:hAnsiTheme="majorBidi" w:cstheme="majorBidi"/>
                <w:sz w:val="22"/>
                <w:szCs w:val="22"/>
              </w:rPr>
              <w:t>Organizational learning literature (general)</w:t>
            </w:r>
          </w:p>
        </w:tc>
        <w:tc>
          <w:tcPr>
            <w:tcW w:w="1550" w:type="dxa"/>
            <w:tcMar>
              <w:top w:w="90" w:type="dxa"/>
              <w:left w:w="90" w:type="dxa"/>
              <w:bottom w:w="90" w:type="dxa"/>
              <w:right w:w="90" w:type="dxa"/>
            </w:tcMar>
          </w:tcPr>
          <w:p w14:paraId="06423316">
            <w:pPr>
              <w:rPr>
                <w:rFonts w:asciiTheme="majorBidi" w:hAnsiTheme="majorBidi" w:cstheme="majorBidi"/>
                <w:sz w:val="32"/>
                <w:szCs w:val="32"/>
              </w:rPr>
            </w:pPr>
            <w:r>
              <w:rPr>
                <w:rFonts w:asciiTheme="majorBidi" w:hAnsiTheme="majorBidi" w:cstheme="majorBidi"/>
                <w:sz w:val="22"/>
                <w:szCs w:val="22"/>
              </w:rPr>
              <w:t>Partially evidenced; 'lessons-learned' publication not observed for either case within the corpus window</w:t>
            </w:r>
          </w:p>
        </w:tc>
      </w:tr>
    </w:tbl>
    <w:p w14:paraId="6DF510AC">
      <w:pPr>
        <w:spacing w:before="60" w:after="180"/>
      </w:pPr>
      <w:r>
        <w:rPr>
          <w:i/>
          <w:sz w:val="18"/>
        </w:rPr>
        <w:t>Source: Author's own derivation table, tracing each framework component to its supporting documents, codes, and theoretical basis (Section 15).</w:t>
      </w:r>
    </w:p>
    <w:p w14:paraId="5B47A6FA">
      <w:pPr>
        <w:spacing w:after="200" w:line="360" w:lineRule="auto"/>
        <w:jc w:val="both"/>
        <w:rPr>
          <w:rFonts w:asciiTheme="majorBidi" w:hAnsiTheme="majorBidi" w:cstheme="majorBidi"/>
          <w:sz w:val="32"/>
          <w:szCs w:val="32"/>
        </w:rPr>
      </w:pPr>
      <w:r>
        <w:rPr>
          <w:rFonts w:asciiTheme="majorBidi" w:hAnsiTheme="majorBidi" w:cstheme="majorBidi"/>
          <w:sz w:val="32"/>
          <w:szCs w:val="32"/>
        </w:rPr>
        <w:t xml:space="preserve"> </w:t>
      </w:r>
    </w:p>
    <w:p w14:paraId="17A32847">
      <w:pPr>
        <w:spacing w:after="200" w:line="360" w:lineRule="auto"/>
        <w:jc w:val="both"/>
        <w:rPr>
          <w:rFonts w:asciiTheme="majorBidi" w:hAnsiTheme="majorBidi" w:cstheme="majorBidi"/>
          <w:sz w:val="32"/>
          <w:szCs w:val="32"/>
        </w:rPr>
      </w:pPr>
      <w:r>
        <w:rPr>
          <w:rFonts w:asciiTheme="majorBidi" w:hAnsiTheme="majorBidi" w:cstheme="majorBidi"/>
          <w:sz w:val="32"/>
          <w:szCs w:val="32"/>
        </w:rPr>
        <w:t>Unlike a purely linear pre-crisis/immediate/advanced/post-crisis timeline, this framework is cyclical: Phase 5 (Recovery &amp; Resilience) feeds directly back into Phase 0 (Pre-Crisis), reflecting that organizational learning from one incident should inform preparedness for the next. The framework is offered as conceptually promising but empirically preliminary: it is grounded in the ICRC corpus more fully than the WFP corpus at this stage, and each phase requires further justification once both corpora are closed and coded to completion.</w:t>
      </w:r>
    </w:p>
    <w:p w14:paraId="4F1BFA79">
      <w:pPr>
        <w:pStyle w:val="2"/>
        <w:spacing w:before="360" w:after="160"/>
        <w:rPr>
          <w:rFonts w:asciiTheme="majorBidi" w:hAnsiTheme="majorBidi" w:cstheme="majorBidi"/>
          <w:sz w:val="40"/>
          <w:szCs w:val="40"/>
        </w:rPr>
      </w:pPr>
      <w:r>
        <w:rPr>
          <w:rFonts w:asciiTheme="majorBidi" w:hAnsiTheme="majorBidi" w:cstheme="majorBidi"/>
          <w:b/>
          <w:bCs/>
          <w:sz w:val="36"/>
          <w:szCs w:val="36"/>
        </w:rPr>
        <w:t>16. Limitations</w:t>
      </w:r>
    </w:p>
    <w:p w14:paraId="4D4D5A4E">
      <w:pPr>
        <w:spacing w:after="200" w:line="360" w:lineRule="auto"/>
        <w:jc w:val="both"/>
        <w:rPr>
          <w:rFonts w:asciiTheme="majorBidi" w:hAnsiTheme="majorBidi" w:cstheme="majorBidi"/>
          <w:sz w:val="32"/>
          <w:szCs w:val="32"/>
        </w:rPr>
      </w:pPr>
      <w:r>
        <w:rPr>
          <w:rFonts w:asciiTheme="majorBidi" w:hAnsiTheme="majorBidi" w:cstheme="majorBidi"/>
          <w:sz w:val="32"/>
          <w:szCs w:val="32"/>
        </w:rPr>
        <w:t>This study has several limitations. First, it remains a two-case design with documentary data only; it does not include interview or audience-reception data, and therefore cannot support causal claims about actual trust restoration, only about the communicative strategies organizations employed. Second, a temporal asymmetry remains, though it has narrowed: the ICRC corpus spans roughly five months of documented communication (January-June 2022), while the WFP corpus now spans roughly nine weeks (31 May-29 July 2026), and the true size of the eventual WFP corpus is not yet known, since the underlying incident and its aftermath remain current at the time of writing. Third, coding to date has been conducted by a single researcher; a second-coder reliability check has not yet been performed and is identified as a priority next step rather than a completed safeguard. Fourth, both cases occurred within active-conflict or conflict-adjacent settings, which may limit generalizability to humanitarian data breaches in non-conflict contexts. Fifth, the internal WFP staff-guidance document discussed in Section 12.4 was not published by WFP itself but disclosed through independent journalism; its authenticity rests on that reporting rather than on direct organizational confirmation.</w:t>
      </w:r>
    </w:p>
    <w:p w14:paraId="5AB6AD98">
      <w:pPr>
        <w:spacing w:after="200" w:line="360" w:lineRule="auto"/>
        <w:jc w:val="both"/>
        <w:rPr>
          <w:rFonts w:asciiTheme="majorBidi" w:hAnsiTheme="majorBidi" w:cstheme="majorBidi"/>
          <w:sz w:val="32"/>
          <w:szCs w:val="32"/>
        </w:rPr>
      </w:pPr>
      <w:r>
        <w:rPr>
          <w:rFonts w:asciiTheme="majorBidi" w:hAnsiTheme="majorBidi" w:cstheme="majorBidi"/>
          <w:sz w:val="32"/>
          <w:szCs w:val="32"/>
        </w:rPr>
        <w:t>Sixth, on data transparency: all factual claims are drawn from officially verified sources (References); no citation, date, or figure has been invented, though three items remain open: (1) the exact publication date of ICRC's beneficiary-facing "How could it affect me?" guidance has not been independently confirmed from source metadata and is marked accordingly in Section 12.2; (2) the WFP pre-breach whistleblower warning (12 May 2026) is corroborated by two independent sources (reporting citing The New Humanitarian, and the Lemkin Institute/Inklings account) but has not been confirmed in WFP's own official communications and should be treated as independently reported rather than organization-confirmed; (3) the internal WFP staff-guidance document discussed in Section 12.4 is known to this study only through The New Humanitarian's 29 July 2026 reporting, not through direct access to the document itself, and should be attributed accordingly; (4) coding scores in Sections 12-13 reflect single-coder qualitative judgment against an explicit evidence trail, not a validated multi-coder measurement, and should be read accordingly.</w:t>
      </w:r>
    </w:p>
    <w:p w14:paraId="475130FF">
      <w:pPr>
        <w:pStyle w:val="2"/>
        <w:spacing w:before="360" w:after="160"/>
        <w:rPr>
          <w:rFonts w:asciiTheme="majorBidi" w:hAnsiTheme="majorBidi" w:cstheme="majorBidi"/>
          <w:sz w:val="40"/>
          <w:szCs w:val="40"/>
        </w:rPr>
      </w:pPr>
      <w:r>
        <w:rPr>
          <w:rFonts w:asciiTheme="majorBidi" w:hAnsiTheme="majorBidi" w:cstheme="majorBidi"/>
          <w:b/>
          <w:bCs/>
          <w:sz w:val="36"/>
          <w:szCs w:val="36"/>
        </w:rPr>
        <w:t>17. Future Research Directions</w:t>
      </w:r>
    </w:p>
    <w:p w14:paraId="1DDE83FD">
      <w:pPr>
        <w:spacing w:after="200" w:line="360" w:lineRule="auto"/>
        <w:jc w:val="both"/>
        <w:rPr>
          <w:rFonts w:asciiTheme="majorBidi" w:hAnsiTheme="majorBidi" w:cstheme="majorBidi"/>
          <w:sz w:val="32"/>
          <w:szCs w:val="32"/>
        </w:rPr>
      </w:pPr>
      <w:r>
        <w:rPr>
          <w:rFonts w:asciiTheme="majorBidi" w:hAnsiTheme="majorBidi" w:cstheme="majorBidi"/>
          <w:sz w:val="32"/>
          <w:szCs w:val="32"/>
        </w:rPr>
        <w:t>Priority next steps include: (1) closing both corpora through systematic, dated collection of all subsequent official communications; (2) conducting a second-coder reliability check (e.g., Krippendorff's alpha) on a sample of the coded corpus; (3) testing whether protection-bounded transparency and humanitarian operational continuity communication generalize to additional humanitarian-sector breaches as they are documented; and (4) empirically testing the HCCCPF through practitioner interviews or organizational document analysis, which would also allow more direct application of interview-based reporting standards (e.g., COREQ) than the current document-based design permits.</w:t>
      </w:r>
    </w:p>
    <w:p w14:paraId="10F15A57">
      <w:pPr>
        <w:pStyle w:val="2"/>
        <w:spacing w:before="360" w:after="160"/>
        <w:rPr>
          <w:rFonts w:asciiTheme="majorBidi" w:hAnsiTheme="majorBidi" w:cstheme="majorBidi"/>
          <w:sz w:val="40"/>
          <w:szCs w:val="40"/>
        </w:rPr>
      </w:pPr>
      <w:r>
        <w:rPr>
          <w:rFonts w:asciiTheme="majorBidi" w:hAnsiTheme="majorBidi" w:cstheme="majorBidi"/>
          <w:b/>
          <w:bCs/>
          <w:sz w:val="36"/>
          <w:szCs w:val="36"/>
        </w:rPr>
        <w:t>18. Conclusion</w:t>
      </w:r>
    </w:p>
    <w:p w14:paraId="3B69DF11">
      <w:pPr>
        <w:spacing w:after="200" w:line="360" w:lineRule="auto"/>
        <w:jc w:val="both"/>
        <w:rPr>
          <w:rFonts w:asciiTheme="majorBidi" w:hAnsiTheme="majorBidi" w:cstheme="majorBidi"/>
          <w:sz w:val="32"/>
          <w:szCs w:val="32"/>
        </w:rPr>
      </w:pPr>
      <w:r>
        <w:rPr>
          <w:rFonts w:asciiTheme="majorBidi" w:hAnsiTheme="majorBidi" w:cstheme="majorBidi"/>
          <w:sz w:val="32"/>
          <w:szCs w:val="32"/>
        </w:rPr>
        <w:t>This paper presents an evidence-grounded research design, a source-verified comparative timeline, an evidence-linked coding scheme, and preliminary findings on crisis communication following data breaches at two major humanitarian organizations. Both cases are independently documented, though the WFP corpus remains substantially smaller and more recent than the ICRC corpus at the time of writing. The findings, while preliminary, identify two candidate contributions - protection-bounded transparency and humanitarian operational continuity communication - that are not well accounted for in corporate-derived frameworks such as SCCT and IRT. The proposed Humanitarian Cyber Crisis Communication and Protection Framework (HCCCPF) is offered as a preliminary, evidence-grounded framework requiring validation across additional humanitarian cyber-crisis cases, not as a finished or externally validated model. This study analyzes organizational communication strategies rather than measuring audience trust outcomes directly; no claim is made that either organization's communication restored public trust, only that specific communications were oriented toward trust repair.</w:t>
      </w:r>
    </w:p>
    <w:p w14:paraId="64271E05">
      <w:pPr>
        <w:pStyle w:val="2"/>
        <w:spacing w:before="360" w:after="160"/>
        <w:rPr>
          <w:rFonts w:asciiTheme="majorBidi" w:hAnsiTheme="majorBidi" w:cstheme="majorBidi"/>
          <w:sz w:val="40"/>
          <w:szCs w:val="40"/>
        </w:rPr>
      </w:pPr>
      <w:r>
        <w:rPr>
          <w:rFonts w:asciiTheme="majorBidi" w:hAnsiTheme="majorBidi" w:cstheme="majorBidi"/>
          <w:b/>
          <w:bCs/>
          <w:sz w:val="36"/>
          <w:szCs w:val="36"/>
        </w:rPr>
        <w:t>Declarations</w:t>
      </w:r>
    </w:p>
    <w:p w14:paraId="4118B743">
      <w:pPr>
        <w:spacing w:before="200" w:after="100"/>
        <w:rPr>
          <w:rFonts w:asciiTheme="majorBidi" w:hAnsiTheme="majorBidi" w:cstheme="majorBidi"/>
          <w:b/>
          <w:bCs/>
          <w:i/>
          <w:iCs/>
          <w:sz w:val="32"/>
          <w:szCs w:val="32"/>
        </w:rPr>
      </w:pPr>
      <w:r>
        <w:rPr>
          <w:rFonts w:asciiTheme="majorBidi" w:hAnsiTheme="majorBidi" w:cstheme="majorBidi"/>
          <w:b/>
          <w:bCs/>
          <w:i/>
          <w:iCs/>
          <w:sz w:val="32"/>
          <w:szCs w:val="32"/>
        </w:rPr>
        <w:t>Ethics approval and consent to participate</w:t>
      </w:r>
    </w:p>
    <w:p w14:paraId="1EE62D95">
      <w:pPr>
        <w:spacing w:after="200" w:line="360" w:lineRule="auto"/>
        <w:jc w:val="both"/>
        <w:rPr>
          <w:rFonts w:asciiTheme="majorBidi" w:hAnsiTheme="majorBidi" w:cstheme="majorBidi"/>
          <w:sz w:val="32"/>
          <w:szCs w:val="32"/>
        </w:rPr>
      </w:pPr>
      <w:r>
        <w:rPr>
          <w:rFonts w:asciiTheme="majorBidi" w:hAnsiTheme="majorBidi" w:cstheme="majorBidi"/>
          <w:sz w:val="32"/>
          <w:szCs w:val="32"/>
        </w:rPr>
        <w:t>This research did not involve human participants, human data, or animal subjects, and did not require approval from an institutional ethics review board. All data analyzed were drawn from publicly available official communications and documents issued by the organizations studied, or from independently published secondary reporting of such communications.</w:t>
      </w:r>
    </w:p>
    <w:p w14:paraId="530E3B11">
      <w:pPr>
        <w:spacing w:before="200" w:after="100"/>
        <w:rPr>
          <w:rFonts w:asciiTheme="majorBidi" w:hAnsiTheme="majorBidi" w:cstheme="majorBidi"/>
          <w:b/>
          <w:bCs/>
          <w:i/>
          <w:iCs/>
          <w:sz w:val="32"/>
          <w:szCs w:val="32"/>
        </w:rPr>
      </w:pPr>
      <w:r>
        <w:rPr>
          <w:rFonts w:asciiTheme="majorBidi" w:hAnsiTheme="majorBidi" w:cstheme="majorBidi"/>
          <w:b/>
          <w:bCs/>
          <w:i/>
          <w:iCs/>
          <w:sz w:val="32"/>
          <w:szCs w:val="32"/>
        </w:rPr>
        <w:t>Consent for publication</w:t>
      </w:r>
    </w:p>
    <w:p w14:paraId="78F71C36">
      <w:pPr>
        <w:spacing w:after="200" w:line="360" w:lineRule="auto"/>
        <w:jc w:val="both"/>
        <w:rPr>
          <w:rFonts w:asciiTheme="majorBidi" w:hAnsiTheme="majorBidi" w:cstheme="majorBidi"/>
          <w:sz w:val="32"/>
          <w:szCs w:val="32"/>
        </w:rPr>
      </w:pPr>
      <w:r>
        <w:rPr>
          <w:rFonts w:asciiTheme="majorBidi" w:hAnsiTheme="majorBidi" w:cstheme="majorBidi"/>
          <w:sz w:val="32"/>
          <w:szCs w:val="32"/>
        </w:rPr>
        <w:t>Not applicable. This study did not involve any individual person's data, images, or other personal material requiring consent for publication.</w:t>
      </w:r>
    </w:p>
    <w:p w14:paraId="0DB122FB">
      <w:pPr>
        <w:spacing w:before="200" w:after="100"/>
        <w:rPr>
          <w:rFonts w:asciiTheme="majorBidi" w:hAnsiTheme="majorBidi" w:cstheme="majorBidi"/>
          <w:b/>
          <w:bCs/>
          <w:i/>
          <w:iCs/>
          <w:sz w:val="32"/>
          <w:szCs w:val="32"/>
        </w:rPr>
      </w:pPr>
      <w:r>
        <w:rPr>
          <w:rFonts w:asciiTheme="majorBidi" w:hAnsiTheme="majorBidi" w:cstheme="majorBidi"/>
          <w:b/>
          <w:bCs/>
          <w:i/>
          <w:iCs/>
          <w:sz w:val="32"/>
          <w:szCs w:val="32"/>
        </w:rPr>
        <w:t>Availability of data and materials</w:t>
      </w:r>
    </w:p>
    <w:p w14:paraId="1A2C9BCE">
      <w:pPr>
        <w:spacing w:after="200" w:line="360" w:lineRule="auto"/>
        <w:jc w:val="both"/>
        <w:rPr>
          <w:rFonts w:asciiTheme="majorBidi" w:hAnsiTheme="majorBidi" w:cstheme="majorBidi"/>
          <w:sz w:val="32"/>
          <w:szCs w:val="32"/>
        </w:rPr>
      </w:pPr>
      <w:r>
        <w:rPr>
          <w:rFonts w:asciiTheme="majorBidi" w:hAnsiTheme="majorBidi" w:cstheme="majorBidi"/>
          <w:sz w:val="32"/>
          <w:szCs w:val="32"/>
        </w:rPr>
        <w:t>The documentary corpus analyzed in this study consists of publicly available official communications issued by the International Committee of the Red Cross (ICRC) and the World Food Programme (WFP), together with independently published secondary reporting, all of which are cited in the References. The Master Corpus Table, Codebook, and Coding Matrix compiled by the authors are available as Supplementary Information or from the corresponding author upon reasonable request.</w:t>
      </w:r>
    </w:p>
    <w:p w14:paraId="2BFA4044">
      <w:pPr>
        <w:spacing w:before="200" w:after="100"/>
        <w:rPr>
          <w:rFonts w:asciiTheme="majorBidi" w:hAnsiTheme="majorBidi" w:cstheme="majorBidi"/>
          <w:b/>
          <w:bCs/>
          <w:i/>
          <w:iCs/>
          <w:sz w:val="32"/>
          <w:szCs w:val="32"/>
        </w:rPr>
      </w:pPr>
      <w:r>
        <w:rPr>
          <w:rFonts w:asciiTheme="majorBidi" w:hAnsiTheme="majorBidi" w:cstheme="majorBidi"/>
          <w:b/>
          <w:bCs/>
          <w:i/>
          <w:iCs/>
          <w:sz w:val="32"/>
          <w:szCs w:val="32"/>
        </w:rPr>
        <w:t>Competing interests</w:t>
      </w:r>
    </w:p>
    <w:p w14:paraId="7FC4F880">
      <w:pPr>
        <w:spacing w:after="200" w:line="360" w:lineRule="auto"/>
        <w:jc w:val="both"/>
        <w:rPr>
          <w:rFonts w:asciiTheme="majorBidi" w:hAnsiTheme="majorBidi" w:cstheme="majorBidi"/>
          <w:sz w:val="32"/>
          <w:szCs w:val="32"/>
        </w:rPr>
      </w:pPr>
      <w:r>
        <w:rPr>
          <w:rFonts w:asciiTheme="majorBidi" w:hAnsiTheme="majorBidi" w:cstheme="majorBidi"/>
          <w:sz w:val="32"/>
          <w:szCs w:val="32"/>
        </w:rPr>
        <w:t>The authors declare that they have no competing interests.</w:t>
      </w:r>
    </w:p>
    <w:p w14:paraId="665A5036">
      <w:pPr>
        <w:spacing w:before="200" w:after="100"/>
        <w:rPr>
          <w:rFonts w:asciiTheme="majorBidi" w:hAnsiTheme="majorBidi" w:cstheme="majorBidi"/>
          <w:b/>
          <w:bCs/>
          <w:i/>
          <w:iCs/>
          <w:sz w:val="32"/>
          <w:szCs w:val="32"/>
        </w:rPr>
      </w:pPr>
      <w:r>
        <w:rPr>
          <w:rFonts w:asciiTheme="majorBidi" w:hAnsiTheme="majorBidi" w:cstheme="majorBidi"/>
          <w:b/>
          <w:bCs/>
          <w:i/>
          <w:iCs/>
          <w:sz w:val="32"/>
          <w:szCs w:val="32"/>
        </w:rPr>
        <w:t>Funding</w:t>
      </w:r>
    </w:p>
    <w:p w14:paraId="2B121C63">
      <w:pPr>
        <w:spacing w:after="200" w:line="360" w:lineRule="auto"/>
        <w:jc w:val="both"/>
        <w:rPr>
          <w:rFonts w:asciiTheme="majorBidi" w:hAnsiTheme="majorBidi" w:cstheme="majorBidi"/>
          <w:sz w:val="32"/>
          <w:szCs w:val="32"/>
        </w:rPr>
      </w:pPr>
      <w:r>
        <w:rPr>
          <w:rFonts w:asciiTheme="majorBidi" w:hAnsiTheme="majorBidi" w:cstheme="majorBidi"/>
          <w:sz w:val="32"/>
          <w:szCs w:val="32"/>
        </w:rPr>
        <w:t>[PLEASE CONFIRM: e.g., “This research received no specific grant from any funding agency in the public, commercial, or not-for-profit sectors.” OR insert actual funding source/grant number.]</w:t>
      </w:r>
    </w:p>
    <w:p w14:paraId="76CC6AA5">
      <w:pPr>
        <w:spacing w:before="200" w:after="100"/>
        <w:rPr>
          <w:rFonts w:asciiTheme="majorBidi" w:hAnsiTheme="majorBidi" w:cstheme="majorBidi"/>
          <w:b/>
          <w:bCs/>
          <w:i/>
          <w:iCs/>
          <w:sz w:val="32"/>
          <w:szCs w:val="32"/>
        </w:rPr>
      </w:pPr>
      <w:r>
        <w:rPr>
          <w:rFonts w:asciiTheme="majorBidi" w:hAnsiTheme="majorBidi" w:cstheme="majorBidi"/>
          <w:b/>
          <w:bCs/>
          <w:i/>
          <w:iCs/>
          <w:sz w:val="32"/>
          <w:szCs w:val="32"/>
        </w:rPr>
        <w:t>Authors' contributions</w:t>
      </w:r>
    </w:p>
    <w:p w14:paraId="61068746">
      <w:pPr>
        <w:spacing w:after="200" w:line="360" w:lineRule="auto"/>
        <w:jc w:val="both"/>
        <w:rPr>
          <w:rFonts w:asciiTheme="majorBidi" w:hAnsiTheme="majorBidi" w:cstheme="majorBidi"/>
          <w:sz w:val="32"/>
          <w:szCs w:val="32"/>
        </w:rPr>
      </w:pPr>
      <w:r>
        <w:rPr>
          <w:rFonts w:asciiTheme="majorBidi" w:hAnsiTheme="majorBidi" w:cstheme="majorBidi"/>
          <w:sz w:val="32"/>
          <w:szCs w:val="32"/>
        </w:rPr>
        <w:t>[PLEASE CONFIRM CONTRIBUTIONS – SUGGESTED TEXT:] Ibrahim Ukka supervised the study, contributed to the theoretical framing, and critically reviewed the manuscript. Duha Najeh Mazeed and Aya Mohammad Riyad Hawash conducted the data collection, coding, and analysis, and drafted the manuscript. Febriansyah Putra Djaya Indra contributed part of the theoretical framework. All authors read and approved the final manuscript.</w:t>
      </w:r>
    </w:p>
    <w:p w14:paraId="4264B94D">
      <w:pPr>
        <w:spacing w:before="200" w:after="100"/>
        <w:rPr>
          <w:rFonts w:asciiTheme="majorBidi" w:hAnsiTheme="majorBidi" w:cstheme="majorBidi"/>
          <w:b/>
          <w:bCs/>
          <w:i/>
          <w:iCs/>
          <w:sz w:val="32"/>
          <w:szCs w:val="32"/>
        </w:rPr>
      </w:pPr>
      <w:r>
        <w:rPr>
          <w:rFonts w:asciiTheme="majorBidi" w:hAnsiTheme="majorBidi" w:cstheme="majorBidi"/>
          <w:b/>
          <w:bCs/>
          <w:i/>
          <w:iCs/>
          <w:sz w:val="32"/>
          <w:szCs w:val="32"/>
        </w:rPr>
        <w:t>Acknowledgements</w:t>
      </w:r>
    </w:p>
    <w:p w14:paraId="5D3362C3">
      <w:pPr>
        <w:spacing w:after="200" w:line="360" w:lineRule="auto"/>
        <w:jc w:val="both"/>
        <w:rPr>
          <w:rFonts w:asciiTheme="majorBidi" w:hAnsiTheme="majorBidi" w:cstheme="majorBidi"/>
          <w:sz w:val="32"/>
          <w:szCs w:val="32"/>
        </w:rPr>
      </w:pPr>
      <w:r>
        <w:rPr>
          <w:rFonts w:asciiTheme="majorBidi" w:hAnsiTheme="majorBidi" w:cstheme="majorBidi"/>
          <w:sz w:val="32"/>
          <w:szCs w:val="32"/>
        </w:rPr>
        <w:t>[NOT APPLICABLE / INSERT TEXT IF ANY.]</w:t>
      </w:r>
    </w:p>
    <w:p w14:paraId="31CACCD4">
      <w:pPr>
        <w:pStyle w:val="2"/>
        <w:spacing w:before="360" w:after="160"/>
        <w:rPr>
          <w:rFonts w:asciiTheme="majorBidi" w:hAnsiTheme="majorBidi" w:cstheme="majorBidi"/>
          <w:sz w:val="40"/>
          <w:szCs w:val="40"/>
        </w:rPr>
      </w:pPr>
      <w:r>
        <w:rPr>
          <w:rFonts w:asciiTheme="majorBidi" w:hAnsiTheme="majorBidi" w:cstheme="majorBidi"/>
          <w:b/>
          <w:bCs/>
          <w:sz w:val="36"/>
          <w:szCs w:val="36"/>
        </w:rPr>
        <w:t>References</w:t>
      </w:r>
    </w:p>
    <w:p w14:paraId="1C2E8A12">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Access Now. (2026, June 18). Surveilled, targeted, and now hacked: WFP must protect Palestinians in Gaza after massive data breach [Press release]. https://www.accessnow.org/press-release/wfp-palestinians-data-breach/</w:t>
      </w:r>
    </w:p>
    <w:p w14:paraId="0FB81EA1">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Al Jazeera. (2022, January 20). Cyberattack on ICRC exposes data on 515,000 vulnerable people. https://www.aljazeera.com/news/2022/1/20/cyberattack-on-icrc-exposes-data-on-515000-vulnerable-people</w:t>
      </w:r>
    </w:p>
    <w:p w14:paraId="67C4FDF8">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Anfuso, C., Bartolucci, A., Del-Real, C., &amp; Kuipers, S. (2026). Cybersecurity threats, challenges, and strategies in humanitarian operations: A scoping review. International Journal of Disaster Risk Reduction. https://www.sciencedirect.com/science/article/pii/S2212420926000944</w:t>
      </w:r>
    </w:p>
    <w:p w14:paraId="427AD92E">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Aradau, C. (2023). The tangle of digital humanitarianism. London Review of International Law, 11(3), 523-534. https://doi.org/10.1093/lril/lrae004</w:t>
      </w:r>
    </w:p>
    <w:p w14:paraId="37C8D342">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Avery, E. J., &amp; Park, S. (2016). Effects of attributed responsibility and response strategies on organizational reputation: A meta-analysis of situational crisis communication theory research. Journal of Public Relations Research, 28(2), 102-119. https://doi.org/10.1080/1062726X.2016.1166367</w:t>
      </w:r>
    </w:p>
    <w:p w14:paraId="06353556">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Benoit, W. L. (2015). Accounts, excuses, and apologies: Image repair theory and research (2nd ed.). SUNY Press.</w:t>
      </w:r>
    </w:p>
    <w:p w14:paraId="570D2AFF">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Bruder, M., &amp; Baar, T. (2024). Innovation in humanitarian assistance - a systematic literature review. Journal of International Humanitarian Action, 9(1), 2. https://doi.org/10.1186/s41018-023-00144-3</w:t>
      </w:r>
    </w:p>
    <w:p w14:paraId="601DA108">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Choi, J., Robinson, S., Ruddle, T., &amp; Fister, A. (2025). Restoring public trust after a data breach crisis: Reputational response strategies for government, for-profit, and nonprofit organizations. Risk, Hazards &amp; Crisis in Public Policy, 16, e70026. https://doi.org/10.1002/rhc3.70026</w:t>
      </w:r>
    </w:p>
    <w:p w14:paraId="4F69FBE7">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Coombs, W. T. (2007). Protecting organization reputations during a crisis: The development and application of situational crisis communication theory. Corporate Reputation Review, 10(3), 163-176.</w:t>
      </w:r>
    </w:p>
    <w:p w14:paraId="4A641ADC">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DataBreaches.Net. (2026, June 2). Data of 600,000 Gaza households exposed in World Food Programme cyberattack. https://databreaches.net/2026/06/02/data-of-600000-gaza-households-exposed-in-world-food-programme-cyberattack/</w:t>
      </w:r>
    </w:p>
    <w:p w14:paraId="3B3A54F7">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Fast, L. (2023). Governing data: Relationships, trust, and ethics in leveraging data and technology in service of humanitarian health delivery. Daedalus, 152(3), 125-140.</w:t>
      </w:r>
    </w:p>
    <w:p w14:paraId="5908D61A">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Fuller, R. P., et al. (2022). Nonprofit organization communication, crisis planning, and strategic responses to the COVID-19 pandemic. Journal of Philanthropy and Marketing, e1750. https://doi.org/10.1002/nvsm.1750</w:t>
      </w:r>
    </w:p>
    <w:p w14:paraId="293B9452">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International Committee of the Red Cross. (2022, January 19). Cyber-attack on the ICRC: What we know [News release]. https://www.icrc.org/en/document/sophisticated-cyber-attack-targets-red-cross-red-crescent-data-500000-people</w:t>
      </w:r>
    </w:p>
    <w:p w14:paraId="4F28822F">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International Committee of the Red Cross. (2022, February). Cyber-attack on ICRC: What we know [FAQ]. https://www.icrc.org/en/document/cyber-attack-icrc-what-we-know</w:t>
      </w:r>
    </w:p>
    <w:p w14:paraId="6298532E">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International Committee of the Red Cross. (2022). Cyber security incident: How could it affect me? https://www.icrc.org/en/document/cyber-security-how-it-affect-me</w:t>
      </w:r>
    </w:p>
    <w:p w14:paraId="652A4028">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International Committee of the Red Cross. (2022, February 16). ICRC cyber-attack: Sharing our analysis [Open letter]. https://www.icrc.org/en/document/icrc-cyber-attack-analysis</w:t>
      </w:r>
    </w:p>
    <w:p w14:paraId="28E05A94">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Jechle, D., Schuetz, S., &amp; Gewald, H. (2025). Decoding data breach response strategies: Insights from situational crisis communication theory using topic modeling. Proceedings of the European Conference on Information Systems (ECIS 2025). https://aisel.aisnet.org/ecis2025/security/security/2/</w:t>
      </w:r>
    </w:p>
    <w:p w14:paraId="6103B44E">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Kuipers, S., &amp; Schonheit, M. (2022). Data breaches and effective crisis communication: A comparative analysis of corporate reputational crises. Corporate Reputation Review, 25(3), 176-197. https://doi.org/10.1057/s41299-021-00121-9</w:t>
      </w:r>
    </w:p>
    <w:p w14:paraId="6E0B5A9E">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Kuipers, S., Perlstein, S., Wolbers, J., &amp; Jong, W. (2023). Assist or accuse? Identifying trends in crisis communication through a bibliometric literature review. Risk, Hazards &amp; Crisis in Public Policy, 14(4), 272-296. https://doi.org/10.1002/rhc3.12283</w:t>
      </w:r>
    </w:p>
    <w:p w14:paraId="3D24B13A">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Lemkin Institute / Inklings. (2026, June 3). WFP cyber-attack: Is nearly all of Gaza's population exposed? https://www.lemkininstitute.com/single-post/wfp-cyber-attack-is-nearly-all-of-gaza-s-population-exposed-the-food-programme-is-often-seen-to-be</w:t>
      </w:r>
    </w:p>
    <w:p w14:paraId="3D4C2478">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Lidén, K. (2026). Ethics and the governance of digital data in humanitarian action. Disasters. https://doi.org/10.1111/disa.70018</w:t>
      </w:r>
    </w:p>
    <w:p w14:paraId="79B7F989">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Liu, Y., &amp; Duarte, H. (2023). Repairing public trust through communication in health crises: A systematic review of the literature. Public Management Review. https://doi.org/10.1080/14719037.2023.2284224</w:t>
      </w:r>
    </w:p>
    <w:p w14:paraId="7849ED3E">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Mardini, R. (2022, January 29). Hacking the data of the world's most vulnerable is an outrage. International Committee of the Red Cross. https://www.icrc.org/en/document/hacking-data-outrage</w:t>
      </w:r>
    </w:p>
    <w:p w14:paraId="20A972DD">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Marynissen, H., &amp; Lauder, M. (2020). Stakeholder-focused communication strategy during crisis: A case study based on the Brussels terror attacks. International Journal of Business Communication, 57(2), 176-193.</w:t>
      </w:r>
    </w:p>
    <w:p w14:paraId="77F8A4E4">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Masiero, S. (2023). Digital humanitarianism: A critical discourse analysis. Proceedings of the 15th Mediterranean Conference on Information Systems / 6th MENACIS.</w:t>
      </w:r>
    </w:p>
    <w:p w14:paraId="373BEB27">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Masuch, K., Greve, M., &amp; Trang, S. (2021). What to do after a data breach? Examining apology and compensation as response strategies for health service providers. Electronic Markets, 31, 829-848.</w:t>
      </w:r>
    </w:p>
    <w:p w14:paraId="16459DB5">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Mills, J. L. (2017). Privacy, mass intrusion, and the modern data breach. Florida Law Review, 69(3), 771-830.</w:t>
      </w:r>
    </w:p>
    <w:p w14:paraId="688ECD67">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Nair, S., Attal-Juncqua, A., Reddy, A., Sorrell, E. M., &amp; Standley, C. J. (2022). Assessing barriers, opportunities and future directions in health information sharing in humanitarian contexts: A mixed-method study. BMJ Open, 12(4).</w:t>
      </w:r>
    </w:p>
    <w:p w14:paraId="39A0FD42">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Ndlela, M. N. (2019). Crisis communication: A stakeholder approach. Palgrave Macmillan.</w:t>
      </w:r>
    </w:p>
    <w:p w14:paraId="15176026">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Nöhammer, E., Schorn, R., &amp; Becker, N. (2023). Optimizing the organizational crisis communication portfolio. Corporate Reputation Review, 26, 304-319.</w:t>
      </w:r>
    </w:p>
    <w:p w14:paraId="154D851D">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Ruohonen, J., Hjerppe, K., &amp; Kortesuo, K. (2024). Crisis communication in the face of data breaches. arXiv:2406.01744. https://arxiv.org/abs/2406.01744</w:t>
      </w:r>
    </w:p>
    <w:p w14:paraId="24B89E7F">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Schlackl, F., Link, N., &amp; Hoehle, H. (2022). Antecedents and consequences of data breaches: A systematic review. Information &amp; Management, 59(4), 103638.</w:t>
      </w:r>
    </w:p>
    <w:p w14:paraId="04D9B136">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The New Humanitarian. (2026, June 2). Data of 600,000 Gaza households exposed in WFP cyber-attack. https://www.thenewhumanitarian.org/news/2026/06/02/data-600000-gaza-households-exposed-wfp-cyber-attack</w:t>
      </w:r>
    </w:p>
    <w:p w14:paraId="6563A938">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The New Humanitarian. (2026, July 29). WFP restarts Gaza aid registration app, but cyber-attack questions linger. https://www.thenewhumanitarian.org/news/2026/07/29/wfp-restarts-gaza-aid-registration-app-cyber-attack-questions-linger</w:t>
      </w:r>
    </w:p>
    <w:p w14:paraId="6A097F58">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Watson, H., &amp; Rodrigues, R. (2017). Bringing privacy into the fold: Considerations for the use of social media in crisis management. Journal of Contingencies and Crisis Management, 26, 89-98.</w:t>
      </w:r>
    </w:p>
    <w:p w14:paraId="41AF199B">
      <w:pPr>
        <w:spacing w:after="160" w:line="300" w:lineRule="auto"/>
        <w:ind w:left="400" w:hanging="400"/>
        <w:rPr>
          <w:rFonts w:asciiTheme="majorBidi" w:hAnsiTheme="majorBidi" w:cstheme="majorBidi"/>
          <w:sz w:val="32"/>
          <w:szCs w:val="32"/>
        </w:rPr>
      </w:pPr>
      <w:r>
        <w:rPr>
          <w:rFonts w:asciiTheme="majorBidi" w:hAnsiTheme="majorBidi" w:cstheme="majorBidi"/>
          <w:sz w:val="28"/>
          <w:szCs w:val="28"/>
        </w:rPr>
        <w:t>WFP Palestine Emergency Response External Situation Report #90 (9 June 2026, reporting period 1-31 May 2026). ReliefWeb. https://reliefweb.int/report/occupied-palestinian-territory/wfp-palestine-emergency-response-external-situation-report-90-9-june-2026-reporting-period-1-31-may-2026</w:t>
      </w:r>
    </w:p>
    <w:sectPr>
      <w:pgSz w:w="12240" w:h="15840"/>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displayBackgroundShape w:val="1"/>
  <w:documentProtection w:enforcement="0"/>
  <w:defaultTabStop w:val="720"/>
  <w:characterSpacingControl w:val="doNotCompress"/>
  <w:compat>
    <w:compatSetting w:name="compatibilityMode" w:uri="http://schemas.microsoft.com/office/word" w:val="14"/>
  </w:compat>
  <w:rsids>
    <w:rsidRoot w:val="009B6B26"/>
    <w:rsid w:val="00616472"/>
    <w:rsid w:val="00790DD0"/>
    <w:rsid w:val="0087260E"/>
    <w:rsid w:val="00912107"/>
    <w:rsid w:val="00932C14"/>
    <w:rsid w:val="009B6B26"/>
    <w:rsid w:val="00A26C34"/>
    <w:rsid w:val="00D57F72"/>
    <w:rsid w:val="01C412AF"/>
    <w:rsid w:val="2DF6473B"/>
    <w:rsid w:val="3D577B32"/>
    <w:rsid w:val="46DD4ECC"/>
    <w:rsid w:val="5183104C"/>
    <w:rsid w:val="59B55B70"/>
    <w:rsid w:val="70BE41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1"/>
    <w:qFormat/>
    <w:uiPriority w:val="0"/>
    <w:pPr>
      <w:outlineLvl w:val="0"/>
    </w:pPr>
    <w:rPr>
      <w:rFonts w:ascii="Times New Roman" w:hAnsi="Times New Roman" w:eastAsia="Times New Roman" w:cs="Times New Roman"/>
      <w:color w:val="2E74B5"/>
      <w:sz w:val="32"/>
      <w:szCs w:val="32"/>
      <w:lang w:val="en-US" w:eastAsia="en-US" w:bidi="ar-SA"/>
    </w:rPr>
  </w:style>
  <w:style w:type="paragraph" w:styleId="3">
    <w:name w:val="heading 2"/>
    <w:qFormat/>
    <w:uiPriority w:val="0"/>
    <w:pPr>
      <w:outlineLvl w:val="1"/>
    </w:pPr>
    <w:rPr>
      <w:rFonts w:ascii="Times New Roman" w:hAnsi="Times New Roman" w:eastAsia="Times New Roman" w:cs="Times New Roman"/>
      <w:color w:val="2E74B5"/>
      <w:sz w:val="26"/>
      <w:szCs w:val="26"/>
      <w:lang w:val="en-US" w:eastAsia="en-US" w:bidi="ar-SA"/>
    </w:rPr>
  </w:style>
  <w:style w:type="paragraph" w:styleId="4">
    <w:name w:val="heading 3"/>
    <w:qFormat/>
    <w:uiPriority w:val="0"/>
    <w:pPr>
      <w:outlineLvl w:val="2"/>
    </w:pPr>
    <w:rPr>
      <w:rFonts w:ascii="Times New Roman" w:hAnsi="Times New Roman" w:eastAsia="Times New Roman" w:cs="Times New Roman"/>
      <w:color w:val="1F4D78"/>
      <w:sz w:val="24"/>
      <w:szCs w:val="24"/>
      <w:lang w:val="en-US" w:eastAsia="en-US" w:bidi="ar-SA"/>
    </w:rPr>
  </w:style>
  <w:style w:type="paragraph" w:styleId="5">
    <w:name w:val="heading 4"/>
    <w:qFormat/>
    <w:uiPriority w:val="0"/>
    <w:pPr>
      <w:outlineLvl w:val="3"/>
    </w:pPr>
    <w:rPr>
      <w:rFonts w:ascii="Times New Roman" w:hAnsi="Times New Roman" w:eastAsia="Times New Roman" w:cs="Times New Roman"/>
      <w:i/>
      <w:iCs/>
      <w:color w:val="2E74B5"/>
      <w:sz w:val="24"/>
      <w:szCs w:val="24"/>
      <w:lang w:val="en-US" w:eastAsia="en-US" w:bidi="ar-SA"/>
    </w:rPr>
  </w:style>
  <w:style w:type="paragraph" w:styleId="6">
    <w:name w:val="heading 5"/>
    <w:qFormat/>
    <w:uiPriority w:val="0"/>
    <w:pPr>
      <w:outlineLvl w:val="4"/>
    </w:pPr>
    <w:rPr>
      <w:rFonts w:ascii="Times New Roman" w:hAnsi="Times New Roman" w:eastAsia="Times New Roman" w:cs="Times New Roman"/>
      <w:color w:val="2E74B5"/>
      <w:sz w:val="24"/>
      <w:szCs w:val="24"/>
      <w:lang w:val="en-US" w:eastAsia="en-US" w:bidi="ar-SA"/>
    </w:rPr>
  </w:style>
  <w:style w:type="paragraph" w:styleId="7">
    <w:name w:val="heading 6"/>
    <w:qFormat/>
    <w:uiPriority w:val="0"/>
    <w:pPr>
      <w:outlineLvl w:val="5"/>
    </w:pPr>
    <w:rPr>
      <w:rFonts w:ascii="Times New Roman" w:hAnsi="Times New Roman" w:eastAsia="Times New Roman" w:cs="Times New Roman"/>
      <w:color w:val="1F4D78"/>
      <w:sz w:val="24"/>
      <w:szCs w:val="24"/>
      <w:lang w:val="en-US" w:eastAsia="en-US" w:bidi="ar-SA"/>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Balloon Text"/>
    <w:basedOn w:val="1"/>
    <w:link w:val="21"/>
    <w:semiHidden/>
    <w:unhideWhenUsed/>
    <w:qFormat/>
    <w:uiPriority w:val="99"/>
    <w:rPr>
      <w:rFonts w:ascii="Tahoma" w:hAnsi="Tahoma" w:cs="Tahoma"/>
      <w:sz w:val="16"/>
      <w:szCs w:val="16"/>
    </w:rPr>
  </w:style>
  <w:style w:type="character" w:styleId="11">
    <w:name w:val="endnote reference"/>
    <w:semiHidden/>
    <w:unhideWhenUsed/>
    <w:qFormat/>
    <w:uiPriority w:val="99"/>
    <w:rPr>
      <w:vertAlign w:val="superscript"/>
    </w:rPr>
  </w:style>
  <w:style w:type="paragraph" w:styleId="12">
    <w:name w:val="endnote text"/>
    <w:link w:val="20"/>
    <w:semiHidden/>
    <w:unhideWhenUsed/>
    <w:qFormat/>
    <w:uiPriority w:val="99"/>
    <w:rPr>
      <w:rFonts w:ascii="Times New Roman" w:hAnsi="Times New Roman" w:eastAsia="Times New Roman" w:cs="Times New Roman"/>
      <w:sz w:val="20"/>
      <w:szCs w:val="20"/>
      <w:lang w:val="en-US" w:eastAsia="en-US" w:bidi="ar-SA"/>
    </w:rPr>
  </w:style>
  <w:style w:type="character" w:styleId="13">
    <w:name w:val="footnote reference"/>
    <w:semiHidden/>
    <w:unhideWhenUsed/>
    <w:qFormat/>
    <w:uiPriority w:val="99"/>
    <w:rPr>
      <w:vertAlign w:val="superscript"/>
    </w:rPr>
  </w:style>
  <w:style w:type="paragraph" w:styleId="14">
    <w:name w:val="footnote text"/>
    <w:link w:val="19"/>
    <w:semiHidden/>
    <w:unhideWhenUsed/>
    <w:qFormat/>
    <w:uiPriority w:val="99"/>
    <w:rPr>
      <w:rFonts w:ascii="Times New Roman" w:hAnsi="Times New Roman" w:eastAsia="Times New Roman" w:cs="Times New Roman"/>
      <w:sz w:val="20"/>
      <w:szCs w:val="20"/>
      <w:lang w:val="en-US" w:eastAsia="en-US" w:bidi="ar-SA"/>
    </w:rPr>
  </w:style>
  <w:style w:type="character" w:styleId="15">
    <w:name w:val="Hyperlink"/>
    <w:unhideWhenUsed/>
    <w:qFormat/>
    <w:uiPriority w:val="99"/>
    <w:rPr>
      <w:color w:val="0563C1"/>
      <w:u w:val="single"/>
    </w:rPr>
  </w:style>
  <w:style w:type="paragraph" w:styleId="16">
    <w:name w:val="Title"/>
    <w:qFormat/>
    <w:uiPriority w:val="0"/>
    <w:rPr>
      <w:rFonts w:ascii="Times New Roman" w:hAnsi="Times New Roman" w:eastAsia="Times New Roman" w:cs="Times New Roman"/>
      <w:sz w:val="56"/>
      <w:szCs w:val="56"/>
      <w:lang w:val="en-US" w:eastAsia="en-US" w:bidi="ar-SA"/>
    </w:rPr>
  </w:style>
  <w:style w:type="paragraph" w:customStyle="1" w:styleId="17">
    <w:name w:val="تشديد1"/>
    <w:qFormat/>
    <w:uiPriority w:val="0"/>
    <w:rPr>
      <w:rFonts w:ascii="Times New Roman" w:hAnsi="Times New Roman" w:eastAsia="Times New Roman" w:cs="Times New Roman"/>
      <w:b/>
      <w:bCs/>
      <w:sz w:val="24"/>
      <w:szCs w:val="24"/>
      <w:lang w:val="en-US" w:eastAsia="en-US" w:bidi="ar-SA"/>
    </w:rPr>
  </w:style>
  <w:style w:type="paragraph" w:styleId="18">
    <w:name w:val="List Paragraph"/>
    <w:qFormat/>
    <w:uiPriority w:val="0"/>
    <w:rPr>
      <w:rFonts w:ascii="Times New Roman" w:hAnsi="Times New Roman" w:eastAsia="Times New Roman" w:cs="Times New Roman"/>
      <w:sz w:val="24"/>
      <w:szCs w:val="24"/>
      <w:lang w:val="en-US" w:eastAsia="en-US" w:bidi="ar-SA"/>
    </w:rPr>
  </w:style>
  <w:style w:type="character" w:customStyle="1" w:styleId="19">
    <w:name w:val="نص حاشية سفلية Char"/>
    <w:link w:val="14"/>
    <w:semiHidden/>
    <w:unhideWhenUsed/>
    <w:qFormat/>
    <w:uiPriority w:val="99"/>
    <w:rPr>
      <w:sz w:val="20"/>
      <w:szCs w:val="20"/>
    </w:rPr>
  </w:style>
  <w:style w:type="character" w:customStyle="1" w:styleId="20">
    <w:name w:val="نص تعليق ختامي Char"/>
    <w:link w:val="12"/>
    <w:semiHidden/>
    <w:unhideWhenUsed/>
    <w:qFormat/>
    <w:uiPriority w:val="99"/>
    <w:rPr>
      <w:sz w:val="20"/>
      <w:szCs w:val="20"/>
    </w:rPr>
  </w:style>
  <w:style w:type="character" w:customStyle="1" w:styleId="21">
    <w:name w:val="نص في بالون Char"/>
    <w:basedOn w:val="8"/>
    <w:link w:val="10"/>
    <w:semiHidden/>
    <w:qFormat/>
    <w:uiPriority w:val="99"/>
    <w:rPr>
      <w:rFonts w:ascii="Tahoma" w:hAnsi="Tahoma" w:cs="Tahoma"/>
      <w:sz w:val="16"/>
      <w:szCs w:val="16"/>
    </w:rPr>
  </w:style>
  <w:style w:type="paragraph" w:customStyle="1" w:styleId="22">
    <w:name w:val="Normal1"/>
    <w:qFormat/>
    <w:uiPriority w:val="0"/>
    <w:rPr>
      <w:rFonts w:ascii="Times New Roman" w:hAnsi="Times New Roman" w:eastAsia="Times New Roman" w:cs="Times New Roman"/>
      <w:sz w:val="24"/>
      <w:szCs w:val="24"/>
      <w:lang w:val="en-US" w:eastAsia="en-US" w:bidi="ar-SA"/>
    </w:rPr>
  </w:style>
  <w:style w:type="paragraph" w:customStyle="1" w:styleId="23">
    <w:name w:val="isselectedend"/>
    <w:basedOn w:val="1"/>
    <w:qFormat/>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49</Pages>
  <Words>8864</Words>
  <Characters>59257</Characters>
  <Lines>659</Lines>
  <Paragraphs>185</Paragraphs>
  <TotalTime>0</TotalTime>
  <ScaleCrop>false</ScaleCrop>
  <LinksUpToDate>false</LinksUpToDate>
  <CharactersWithSpaces>67503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2026-08-12T21:44:00Z</dcterms:created>
  <dc:creator>lenovo</dc:creator>
  <cp:lastModifiedBy>ibrahim okh</cp:lastModifiedBy>
  <dcterms:modified xsi:type="dcterms:W3CDTF">2026-10-18T21:31:11Z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9140068B633249D687F85241607395F2_13</vt:lpwstr>
  </property>
  <property fmtid="{D5CDD505-2E9C-101B-9397-08002B2CF9AE}" pid="4" name="KSOTemplateDocerSaveRecord">
    <vt:lpwstr>eyJoZGlkIjoiMTEyYzEyOGEyODQyNTgzOTg2MWQ4ZGI1MTNmNGNlOGIiLCJ1c2VySWQiOiI4ODEzOTgzNDQzMzA0In0=</vt:lpwstr>
  </property>
</Properties>
</file>