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93210">
      <w:pPr>
        <w:pStyle w:val="10"/>
        <w:bidi/>
        <w:jc w:val="center"/>
        <w:rPr>
          <w:sz w:val="32"/>
          <w:szCs w:val="32"/>
        </w:rPr>
      </w:pPr>
      <w:r>
        <w:rPr>
          <w:rFonts w:hint="cs"/>
          <w:b/>
          <w:bCs/>
          <w:sz w:val="32"/>
          <w:szCs w:val="32"/>
          <w:rtl/>
        </w:rPr>
        <w:t xml:space="preserve">العنوان </w:t>
      </w:r>
      <w:r>
        <w:rPr>
          <w:rFonts w:hint="cs"/>
          <w:sz w:val="32"/>
          <w:szCs w:val="32"/>
          <w:rtl/>
        </w:rPr>
        <w:t xml:space="preserve"> : </w:t>
      </w:r>
      <w:r>
        <w:rPr>
          <w:rStyle w:val="11"/>
          <w:sz w:val="32"/>
          <w:szCs w:val="32"/>
          <w:rtl/>
        </w:rPr>
        <w:t>الجامعة الشاهدة والصمود الوجودي في فلسطين: إبادة التعليم بين المحو الاستعماري والسيادة المعرفية</w:t>
      </w:r>
    </w:p>
    <w:p w14:paraId="427B6FC8">
      <w:pPr>
        <w:pStyle w:val="19"/>
        <w:bidi/>
        <w:spacing w:after="100" w:afterAutospacing="1"/>
        <w:rPr>
          <w:rFonts w:ascii="Times New Roman" w:hAnsi="Times New Roman" w:cs="Times New Roman"/>
          <w:b/>
          <w:bCs/>
          <w:sz w:val="32"/>
          <w:szCs w:val="32"/>
          <w:rtl/>
        </w:rPr>
      </w:pPr>
    </w:p>
    <w:p w14:paraId="4ECED861">
      <w:pPr>
        <w:pStyle w:val="19"/>
        <w:bidi/>
        <w:spacing w:after="100" w:afterAutospacing="1"/>
        <w:rPr>
          <w:rFonts w:ascii="Times New Roman" w:hAnsi="Times New Roman" w:cs="Times New Roman"/>
          <w:b/>
          <w:bCs/>
          <w:sz w:val="32"/>
          <w:szCs w:val="32"/>
          <w:rtl/>
        </w:rPr>
      </w:pPr>
    </w:p>
    <w:p w14:paraId="551ECBE9">
      <w:pPr>
        <w:pStyle w:val="19"/>
        <w:bidi/>
        <w:spacing w:after="100" w:afterAutospacing="1"/>
        <w:jc w:val="center"/>
        <w:rPr>
          <w:rFonts w:asciiTheme="majorBidi" w:hAnsiTheme="majorBidi" w:cstheme="majorBidi"/>
          <w:b/>
          <w:bCs/>
          <w:sz w:val="32"/>
          <w:szCs w:val="32"/>
          <w:rtl/>
        </w:rPr>
      </w:pPr>
      <w:r>
        <w:rPr>
          <w:rFonts w:asciiTheme="majorBidi" w:hAnsiTheme="majorBidi" w:cstheme="majorBidi"/>
          <w:b/>
          <w:bCs/>
          <w:sz w:val="32"/>
          <w:szCs w:val="32"/>
        </w:rPr>
        <w:t>The Witnessing University and Ontological Sumud in Palestine: Educide Between Colonial Erasure and Epistemic Sovereignty</w:t>
      </w:r>
    </w:p>
    <w:p w14:paraId="318492B3">
      <w:pPr>
        <w:pStyle w:val="19"/>
        <w:bidi/>
        <w:spacing w:after="100" w:afterAutospacing="1"/>
        <w:jc w:val="center"/>
        <w:rPr>
          <w:rFonts w:hint="cs" w:ascii="Times New Roman" w:hAnsi="Times New Roman" w:cs="Times New Roman"/>
          <w:sz w:val="24"/>
          <w:szCs w:val="24"/>
          <w:rtl/>
          <w:lang w:val="en-US" w:bidi="ar-SA"/>
        </w:rPr>
      </w:pPr>
      <w:r>
        <w:rPr>
          <w:rFonts w:ascii="Times New Roman" w:hAnsi="Times New Roman" w:cs="Times New Roman"/>
          <w:sz w:val="24"/>
          <w:szCs w:val="24"/>
        </w:rPr>
        <w:br w:type="textWrapping"/>
      </w:r>
      <w:r>
        <w:rPr>
          <w:rFonts w:ascii="Times New Roman" w:hAnsi="Times New Roman" w:cs="Times New Roman"/>
          <w:sz w:val="24"/>
          <w:szCs w:val="24"/>
          <w:rtl/>
        </w:rPr>
        <w:t>د. إبراهيم العكّة</w:t>
      </w:r>
      <w:r>
        <w:rPr>
          <w:rFonts w:hint="cs" w:ascii="Times New Roman" w:hAnsi="Times New Roman" w:cs="Times New Roman"/>
          <w:sz w:val="24"/>
          <w:szCs w:val="24"/>
          <w:rtl/>
          <w:lang w:bidi="ar-SA"/>
        </w:rPr>
        <w:t>،</w:t>
      </w:r>
      <w:r>
        <w:rPr>
          <w:rFonts w:hint="cs" w:ascii="Times New Roman" w:hAnsi="Times New Roman" w:cs="Times New Roman"/>
          <w:sz w:val="24"/>
          <w:szCs w:val="24"/>
          <w:rtl/>
          <w:lang w:val="en-US" w:bidi="ar-SA"/>
        </w:rPr>
        <w:t xml:space="preserve"> برنامج ماجستير العلاقات العامة المعاصرة جامعة النجاح الوطنية، نابلس، فلسطين</w:t>
      </w:r>
    </w:p>
    <w:p w14:paraId="20F28CBE">
      <w:pPr>
        <w:pStyle w:val="19"/>
        <w:bidi/>
        <w:spacing w:after="100" w:afterAutospacing="1"/>
        <w:jc w:val="center"/>
        <w:rPr>
          <w:rFonts w:hint="default" w:ascii="Times New Roman" w:hAnsi="Times New Roman" w:cs="Times New Roman"/>
          <w:sz w:val="24"/>
          <w:szCs w:val="24"/>
          <w:rtl/>
          <w:lang w:val="en-US" w:bidi="ar-SA"/>
        </w:rPr>
      </w:pPr>
      <w:r>
        <w:rPr>
          <w:rFonts w:hint="default" w:ascii="Times New Roman" w:hAnsi="Times New Roman" w:cs="Times New Roman"/>
          <w:sz w:val="24"/>
          <w:szCs w:val="24"/>
          <w:rtl w:val="0"/>
          <w:lang w:val="en-US" w:bidi="ar-SA"/>
        </w:rPr>
        <w:t>Ibrahim.okh@najah.edu</w:t>
      </w:r>
      <w:bookmarkStart w:id="0" w:name="_GoBack"/>
      <w:bookmarkEnd w:id="0"/>
    </w:p>
    <w:p w14:paraId="3AF6F3F2">
      <w:pPr>
        <w:pStyle w:val="19"/>
        <w:bidi/>
        <w:spacing w:after="100" w:afterAutospacing="1"/>
        <w:jc w:val="center"/>
        <w:rPr>
          <w:rFonts w:hint="cs" w:ascii="Times New Roman" w:hAnsi="Times New Roman" w:cs="Times New Roman"/>
          <w:sz w:val="24"/>
          <w:szCs w:val="24"/>
          <w:rtl/>
          <w:lang w:val="en-US" w:bidi="ar-SA"/>
        </w:rPr>
      </w:pPr>
      <w:r>
        <w:rPr>
          <w:rFonts w:hint="cs" w:ascii="Times New Roman" w:hAnsi="Times New Roman" w:cs="Times New Roman"/>
          <w:sz w:val="24"/>
          <w:szCs w:val="24"/>
          <w:rtl/>
          <w:lang w:val="en-US" w:bidi="ar-SA"/>
        </w:rPr>
        <w:t>د. مجاهد فرج،  جامعة تونس</w:t>
      </w:r>
    </w:p>
    <w:p w14:paraId="7E3DEAAD">
      <w:pPr>
        <w:pStyle w:val="19"/>
        <w:bidi/>
        <w:spacing w:after="100" w:afterAutospacing="1"/>
        <w:jc w:val="center"/>
        <w:rPr>
          <w:rFonts w:hint="cs" w:ascii="Times New Roman" w:hAnsi="Times New Roman" w:cs="Times New Roman"/>
          <w:sz w:val="24"/>
          <w:szCs w:val="24"/>
          <w:rtl/>
          <w:lang w:bidi="ar-SA"/>
        </w:rPr>
      </w:pPr>
      <w:r>
        <w:rPr>
          <w:rFonts w:hint="default" w:ascii="Times New Roman" w:hAnsi="Times New Roman"/>
          <w:sz w:val="24"/>
          <w:szCs w:val="24"/>
        </w:rPr>
        <w:t>Mojahedjehad2018@hotmail.com</w:t>
      </w:r>
      <w:r>
        <w:rPr>
          <w:rFonts w:ascii="Times New Roman" w:hAnsi="Times New Roman" w:cs="Times New Roman"/>
          <w:sz w:val="24"/>
          <w:szCs w:val="24"/>
        </w:rPr>
        <w:br w:type="textWrapping"/>
      </w:r>
      <w:r>
        <w:rPr>
          <w:rFonts w:ascii="Times New Roman" w:hAnsi="Times New Roman" w:cs="Times New Roman"/>
          <w:sz w:val="24"/>
          <w:szCs w:val="24"/>
          <w:rtl/>
        </w:rPr>
        <w:t>ضحى مزيد</w:t>
      </w:r>
      <w:r>
        <w:rPr>
          <w:rFonts w:hint="cs" w:ascii="Times New Roman" w:hAnsi="Times New Roman" w:cs="Times New Roman"/>
          <w:sz w:val="24"/>
          <w:szCs w:val="24"/>
          <w:rtl/>
          <w:lang w:bidi="ar-SA"/>
        </w:rPr>
        <w:t>،</w:t>
      </w:r>
      <w:r>
        <w:rPr>
          <w:rFonts w:ascii="Times New Roman" w:hAnsi="Times New Roman" w:cs="Times New Roman"/>
          <w:sz w:val="24"/>
          <w:szCs w:val="24"/>
          <w:rtl/>
        </w:rPr>
        <w:t>باحثة، ماجستير العلاقات العامة المعاصرة، جامعة النجاح الوطنية</w:t>
      </w:r>
    </w:p>
    <w:p w14:paraId="359B0A4A">
      <w:pPr>
        <w:spacing w:before="100" w:beforeAutospacing="1" w:after="100" w:afterAutospacing="1" w:line="240" w:lineRule="auto"/>
        <w:jc w:val="center"/>
        <w:rPr>
          <w:rFonts w:ascii="Times New Roman" w:hAnsi="Times New Roman" w:cs="Times New Roman"/>
          <w:sz w:val="24"/>
          <w:szCs w:val="24"/>
        </w:rPr>
      </w:pPr>
      <w:r>
        <w:rPr>
          <w:rFonts w:hint="cs" w:ascii="Times New Roman" w:hAnsi="Times New Roman" w:cs="Times New Roman"/>
          <w:sz w:val="24"/>
          <w:szCs w:val="24"/>
          <w:rtl/>
          <w:lang w:bidi="ar-SA"/>
        </w:rPr>
        <w:t>الاستاذ</w:t>
      </w:r>
      <w:r>
        <w:rPr>
          <w:rFonts w:hint="cs" w:ascii="Times New Roman" w:hAnsi="Times New Roman" w:cs="Times New Roman"/>
          <w:sz w:val="24"/>
          <w:szCs w:val="24"/>
          <w:rtl/>
          <w:lang w:val="en-US" w:bidi="ar-SA"/>
        </w:rPr>
        <w:t xml:space="preserve"> </w:t>
      </w:r>
      <w:r>
        <w:rPr>
          <w:rFonts w:hint="cs" w:ascii="Times New Roman" w:hAnsi="Times New Roman" w:cs="Times New Roman"/>
          <w:sz w:val="24"/>
          <w:szCs w:val="24"/>
          <w:rtl/>
          <w:lang w:bidi="ar-SA"/>
        </w:rPr>
        <w:t>محمود</w:t>
      </w:r>
      <w:r>
        <w:rPr>
          <w:rFonts w:hint="cs" w:ascii="Times New Roman" w:hAnsi="Times New Roman" w:cs="Times New Roman"/>
          <w:sz w:val="24"/>
          <w:szCs w:val="24"/>
          <w:rtl/>
          <w:lang w:val="en-US" w:bidi="ar-SA"/>
        </w:rPr>
        <w:t xml:space="preserve"> عموري، برنامج ماجستير العلاقات العامة المعاصرة </w:t>
      </w:r>
      <w:r>
        <w:rPr>
          <w:rFonts w:ascii="Times New Roman" w:hAnsi="Times New Roman" w:cs="Times New Roman"/>
          <w:sz w:val="24"/>
          <w:szCs w:val="24"/>
        </w:rPr>
        <w:br w:type="textWrapping"/>
      </w:r>
    </w:p>
    <w:p w14:paraId="607ADE19">
      <w:pPr>
        <w:spacing w:before="100" w:beforeAutospacing="1" w:after="100" w:afterAutospacing="1" w:line="240" w:lineRule="auto"/>
        <w:rPr>
          <w:rFonts w:ascii="Times New Roman" w:hAnsi="Times New Roman" w:cs="Times New Roman"/>
          <w:sz w:val="24"/>
          <w:szCs w:val="24"/>
        </w:rPr>
      </w:pPr>
    </w:p>
    <w:p w14:paraId="26DC53C8">
      <w:pPr>
        <w:spacing w:before="100" w:beforeAutospacing="1" w:after="100" w:afterAutospacing="1" w:line="240" w:lineRule="auto"/>
        <w:rPr>
          <w:rFonts w:eastAsia="Times New Roman" w:asciiTheme="majorBidi" w:hAnsiTheme="majorBidi" w:cstheme="majorBidi"/>
          <w:b/>
          <w:bCs/>
          <w:sz w:val="24"/>
          <w:szCs w:val="24"/>
        </w:rPr>
      </w:pPr>
      <w:r>
        <w:rPr>
          <w:rFonts w:eastAsia="Times New Roman" w:asciiTheme="majorBidi" w:hAnsiTheme="majorBidi" w:cstheme="majorBidi"/>
          <w:b/>
          <w:bCs/>
          <w:sz w:val="24"/>
          <w:szCs w:val="24"/>
        </w:rPr>
        <w:t>Abstract</w:t>
      </w:r>
      <w:r>
        <w:rPr>
          <w:rFonts w:eastAsia="Times New Roman" w:asciiTheme="majorBidi" w:hAnsiTheme="majorBidi" w:cstheme="majorBidi"/>
          <w:b/>
          <w:bCs/>
          <w:sz w:val="24"/>
          <w:szCs w:val="24"/>
          <w:rtl/>
        </w:rPr>
        <w:t>:</w:t>
      </w:r>
    </w:p>
    <w:p w14:paraId="4F07BA50">
      <w:pPr>
        <w:pStyle w:val="10"/>
      </w:pPr>
      <w:r>
        <w:t>This study investigates the targeting of Palestinian educational institutions as a systematic settler</w:t>
      </w:r>
      <w:r>
        <w:noBreakHyphen/>
      </w:r>
      <w:r>
        <w:t>colonial practice that extends beyond the physical destruction of schools and universities to the erosion of collective ontological continuity and epistemic capacity. It addresses a central problem: how does educide, manifested as direct violent destruction in Gaza and as gradual slow violence in Jerusalem, reconfigure Palestinian existence and undermine ontological security, and how is this existence re</w:t>
      </w:r>
      <w:r>
        <w:noBreakHyphen/>
      </w:r>
      <w:r>
        <w:t>articulated through practices of epistemic and ontological sumud? The study aims to analyze patterns of educide in Palestine, explain their relationship to ontological security, explore manifestations of ontological sumud among educational actors, and develop the concept of the “Witnessing University.”</w:t>
      </w:r>
    </w:p>
    <w:p w14:paraId="6F06EAFE">
      <w:pPr>
        <w:pStyle w:val="10"/>
      </w:pPr>
      <w:r>
        <w:t>Methodologically, the research adopts a critical qualitative approach grounded in discourse analysis and existential perspectives on ontological security, with a tailored tool—Existence Discourse Analysis (EDA). Empirical data were collected through 22 semi</w:t>
      </w:r>
      <w:r>
        <w:noBreakHyphen/>
      </w:r>
      <w:r>
        <w:t>structured interviews with academics, teachers, and students from Gaza (12) and Jerusalem (10), selected purposively based on their direct experience of education under bombardment or coerced curricula. These interviews were complemented by the analysis of international reports, institutional documents, and digital content.</w:t>
      </w:r>
    </w:p>
    <w:p w14:paraId="57EDAB27">
      <w:pPr>
        <w:pStyle w:val="10"/>
      </w:pPr>
      <w:r>
        <w:t>Findings reveal that in Gaza, educide has taken the form of large</w:t>
      </w:r>
      <w:r>
        <w:noBreakHyphen/>
      </w:r>
      <w:r>
        <w:t>scale destruction of universities, schools, libraries, and academic staff, with selective targeting of memory</w:t>
      </w:r>
      <w:r>
        <w:noBreakHyphen/>
      </w:r>
      <w:r>
        <w:t>bearers in the humanities and social sciences, producing profound feelings of identity disruption and futurelessness. In Jerusalem, educide has manifested as slow violence through the imposition of distorted curricula, conditional funding, and threats of closure, with systematic erasures of national symbols and narratives. The study concludes that educide represents an enduring colonial structure in which ontological security functions as a mediating variable in shaping displacement pressures. It further proposes the “Witnessing University” as a model of an academic institution that transforms into a documenting and resisting epistemic actor in the face of colonial erasure.</w:t>
      </w:r>
    </w:p>
    <w:p w14:paraId="57E1C75D">
      <w:pPr>
        <w:pStyle w:val="4"/>
      </w:pPr>
      <w:r>
        <w:t>Keywords</w:t>
      </w:r>
    </w:p>
    <w:p w14:paraId="7BAD5EDD">
      <w:pPr>
        <w:pStyle w:val="10"/>
      </w:pPr>
      <w:r>
        <w:t>Ontological security, slow violence, epistemic sovereignty, knowledge erasure, collective memory, forced displacement, educational resistance</w:t>
      </w:r>
    </w:p>
    <w:p w14:paraId="489A5597">
      <w:pPr>
        <w:spacing w:before="100" w:beforeAutospacing="1" w:after="100" w:afterAutospacing="1" w:line="240" w:lineRule="auto"/>
        <w:rPr>
          <w:rFonts w:eastAsia="Times New Roman" w:asciiTheme="majorBidi" w:hAnsiTheme="majorBidi" w:cstheme="majorBidi"/>
          <w:b/>
          <w:bCs/>
          <w:sz w:val="24"/>
          <w:szCs w:val="24"/>
        </w:rPr>
      </w:pPr>
    </w:p>
    <w:p w14:paraId="40FC3206">
      <w:pPr>
        <w:bidi/>
        <w:spacing w:before="100" w:beforeAutospacing="1" w:after="100" w:afterAutospacing="1" w:line="240" w:lineRule="auto"/>
        <w:rPr>
          <w:rFonts w:ascii="Simplified Arabic" w:hAnsi="Simplified Arabic" w:eastAsia="Times New Roman" w:cs="Simplified Arabic"/>
          <w:sz w:val="24"/>
          <w:szCs w:val="24"/>
          <w:rtl/>
        </w:rPr>
      </w:pPr>
      <w:r>
        <w:rPr>
          <w:rFonts w:ascii="Simplified Arabic" w:hAnsi="Simplified Arabic" w:eastAsia="Times New Roman" w:cs="Simplified Arabic"/>
          <w:b/>
          <w:bCs/>
          <w:sz w:val="24"/>
          <w:szCs w:val="24"/>
          <w:rtl/>
        </w:rPr>
        <w:t>الملخص:</w:t>
      </w:r>
    </w:p>
    <w:p w14:paraId="08B89BC3">
      <w:pPr>
        <w:bidi/>
        <w:spacing w:before="100" w:beforeAutospacing="1" w:after="100" w:afterAutospacing="1" w:line="240" w:lineRule="auto"/>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تتناول هذه الدراسة استهداف المؤسسات التعليمية الفلسطينية بوصفه ممارسة استعمارية استيطانية ممنهجة، تتجاوز التدمير المادي إلى تقويض الاستمرارية الوجودية والقدرة المعرفية للمجتمع الفلسطيني. تنطلق الدراسة من إشكالية مركزية: كيف تعمل إبادة التعليم، في صورتها العنيفة المباشرة في غزة وصورتها البطيئة المتدرجة في القدس، على إعادة تشكيل الوجود الفلسطيني وتقويض أمنه الوجودي، وكيف يُعاد إنتاج هذا الوجود عبر ممارسات الصمود المعرفي؟ وتهدف الدراسة إلى: تحليل أنماط إبادة التعليم في فلسطين، وتفسير علاقتها بالأمن الوجودي، واستكشاف تجليات الصمود الوجودي، وتطوير مفهوم "الجامعة الشاهدة</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اعتمدت الدراسة منهجاً نوعياً نقدياً، مستنداً إلى التحليل الخطابي النقدي والمقاربات الوجودية، مع تطوير أداة تحليل خاصة هي "تحليل خطاب الوجود". شملت العينة 22 مقابلة معمقة مع أكاديميين ومعلمين وطلبة من غزة (12) والقدس (10)، إضافة إلى تحليل تقارير دولية ووثائق ومحتوى رقمي ذي صلة</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أظهرت النتائج أن استهداف التعليم في غزة اتخذ طابعاً تدميرياً مباشراً، مع استهداف انتقائي لحَمَلة الذاكرة في العلوم الإنسانية، ما انعكس في شعور عميق بانهيار المستقبل والهوية. أما في القدس، فتجلت إبادة التعليم في صورة عنف بطيء عبر التصاعد التدريجي لفرض المناهج المحرفة، وتحريف يمس جوهر الهوية الوطنية. كما كشفت الدراسة عن تآكل عميق في الأمن الوجودي، مقابل بروز أنماط متعددة من الصمود الوجودي عبر التعليم في الخيام، والمقاومة القانونية، والتوثيق المعرفي المنهجي</w:t>
      </w:r>
      <w:r>
        <w:rPr>
          <w:rFonts w:hint="cs" w:ascii="Simplified Arabic" w:hAnsi="Simplified Arabic" w:eastAsia="Times New Roman" w:cs="Simplified Arabic"/>
          <w:sz w:val="24"/>
          <w:szCs w:val="24"/>
          <w:rtl/>
        </w:rPr>
        <w:t>.</w:t>
      </w:r>
      <w:r>
        <w:rPr>
          <w:rFonts w:ascii="Simplified Arabic" w:hAnsi="Simplified Arabic" w:eastAsia="Times New Roman" w:cs="Simplified Arabic"/>
          <w:sz w:val="24"/>
          <w:szCs w:val="24"/>
        </w:rPr>
        <w:t>.</w:t>
      </w:r>
    </w:p>
    <w:p w14:paraId="1B8F9B7D">
      <w:pPr>
        <w:bidi/>
        <w:spacing w:before="100" w:beforeAutospacing="1" w:after="100" w:afterAutospacing="1" w:line="240" w:lineRule="auto"/>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وتخلص الدراسة إلى أن إبادة التعليم في فلسطين تمثل بنية استعمارية مستمرة، وأن الأمن الوجودي يشكل متغيراً وسيطاً حاسماً في دفع الفلسطينيين نحو التفكير في التهجير. وتؤصّل الدراسة مفهوم "الجامعة الشاهدة" بوصفها نموذجاً لمؤسسة تعليمية تتحول إلى فاعل توثيقي ومعرفي مقاوم. وتوصي بتعزيز برامج التعليم الطارئ، وتطوير أنظمة أرشفة رقمية، ودعم شبكات المعرفة اللامركزية، والعمل على ترسيخ "إبادة التعليم" كإطار مفاهيمي مستقل</w:t>
      </w:r>
      <w:r>
        <w:rPr>
          <w:rFonts w:hint="cs" w:ascii="Simplified Arabic" w:hAnsi="Simplified Arabic" w:eastAsia="Times New Roman" w:cs="Simplified Arabic"/>
          <w:sz w:val="24"/>
          <w:szCs w:val="24"/>
          <w:rtl/>
        </w:rPr>
        <w:t>.</w:t>
      </w:r>
    </w:p>
    <w:p w14:paraId="381CD396">
      <w:pPr>
        <w:bidi/>
        <w:spacing w:before="100" w:beforeAutospacing="1" w:after="100" w:afterAutospacing="1" w:line="240" w:lineRule="auto"/>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الكلمات المفتاحية</w:t>
      </w:r>
      <w:r>
        <w:rPr>
          <w:rFonts w:ascii="Simplified Arabic" w:hAnsi="Simplified Arabic" w:eastAsia="Times New Roman" w:cs="Simplified Arabic"/>
          <w:b/>
          <w:bCs/>
          <w:sz w:val="24"/>
          <w:szCs w:val="24"/>
        </w:rPr>
        <w:t xml:space="preserve">  </w:t>
      </w:r>
    </w:p>
    <w:p w14:paraId="5AED8170">
      <w:pPr>
        <w:bidi/>
        <w:spacing w:before="100" w:beforeAutospacing="1" w:after="100" w:afterAutospacing="1" w:line="240" w:lineRule="auto"/>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الأمن الوجودي، العنف البطيء، السيادة المعرفية، الذاكرة الجمعية، التهجير القسري، المقاومة التعليمية، التوثيق المعرفي</w:t>
      </w:r>
    </w:p>
    <w:p w14:paraId="65EB70AB">
      <w:pPr>
        <w:bidi/>
        <w:spacing w:before="100" w:beforeAutospacing="1" w:after="100" w:afterAutospacing="1" w:line="240" w:lineRule="auto"/>
        <w:rPr>
          <w:rFonts w:ascii="Simplified Arabic" w:hAnsi="Simplified Arabic" w:eastAsia="Times New Roman" w:cs="Simplified Arabic"/>
          <w:b/>
          <w:bCs/>
          <w:sz w:val="24"/>
          <w:szCs w:val="24"/>
          <w:rtl/>
        </w:rPr>
      </w:pPr>
    </w:p>
    <w:p w14:paraId="7B9B2F9A">
      <w:pPr>
        <w:bidi/>
        <w:spacing w:before="100" w:beforeAutospacing="1" w:after="100" w:afterAutospacing="1" w:line="240" w:lineRule="auto"/>
        <w:rPr>
          <w:rFonts w:ascii="Simplified Arabic" w:hAnsi="Simplified Arabic" w:eastAsia="Times New Roman" w:cs="Simplified Arabic"/>
          <w:b/>
          <w:bCs/>
          <w:sz w:val="24"/>
          <w:szCs w:val="24"/>
        </w:rPr>
      </w:pPr>
      <w:r>
        <w:rPr>
          <w:rFonts w:hint="cs" w:ascii="Simplified Arabic" w:hAnsi="Simplified Arabic" w:eastAsia="Times New Roman" w:cs="Simplified Arabic"/>
          <w:b/>
          <w:bCs/>
          <w:sz w:val="24"/>
          <w:szCs w:val="24"/>
          <w:rtl/>
        </w:rPr>
        <w:t xml:space="preserve">اولا: </w:t>
      </w:r>
      <w:r>
        <w:rPr>
          <w:rFonts w:ascii="Simplified Arabic" w:hAnsi="Simplified Arabic" w:eastAsia="Times New Roman" w:cs="Simplified Arabic"/>
          <w:b/>
          <w:bCs/>
          <w:sz w:val="24"/>
          <w:szCs w:val="24"/>
          <w:rtl/>
        </w:rPr>
        <w:t>المقدمة</w:t>
      </w:r>
    </w:p>
    <w:p w14:paraId="64E1C674">
      <w:pPr>
        <w:pStyle w:val="10"/>
        <w:bidi/>
        <w:rPr>
          <w:rFonts w:ascii="Simplified Arabic" w:hAnsi="Simplified Arabic" w:cs="Simplified Arabic"/>
          <w:rtl/>
        </w:rPr>
      </w:pPr>
      <w:r>
        <w:rPr>
          <w:rFonts w:ascii="Simplified Arabic" w:hAnsi="Simplified Arabic" w:cs="Simplified Arabic"/>
          <w:rtl/>
        </w:rPr>
        <w:t>يُشكّل التعليم، في أدبيات الدراسات النقدية وما بعد الاستعمار، أكثر من مجرد حق إنساني أو خدمة اجتماعية؛ فهو الحيّز الذي تُنتَج فيه الهوية، وتُحفَظ الذاكرة الجمعية، وتُنسَج السردية التاريخية التي تربط الماضي بالمستقبل</w:t>
      </w:r>
      <w:r>
        <w:rPr>
          <w:rFonts w:ascii="Simplified Arabic" w:hAnsi="Simplified Arabic" w:cs="Simplified Arabic"/>
        </w:rPr>
        <w:t xml:space="preserve"> (Giddens, 1991; Smith, 2012). </w:t>
      </w:r>
      <w:r>
        <w:rPr>
          <w:rFonts w:ascii="Simplified Arabic" w:hAnsi="Simplified Arabic" w:cs="Simplified Arabic"/>
          <w:rtl/>
        </w:rPr>
        <w:t>فالمؤسسة التعليمية لا تنقل المعرفة فحسب، بل تعيد إنتاج الجماعة نفسها عبر ما تكرّسه من روتين يومي، وما توفره من أفق للمستقبل، وما تنقله من معانٍ وسرديات. ومن هنا، فإن استهداف التعليم في السياقات الاستعمارية – كما في فلسطين – لا يمكن اختزاله في تعطيل المدارس أو تدمير المباني، بل ينبغي فهمه باعتباره مساساً بالبنية الوجودية للمجتمع؛ أي بالبنية التي تضمن له الاستمرار في تعريف ذاته، وحفظ ذاكرته، وإعادة إنتاج مستقبله</w:t>
      </w:r>
      <w:r>
        <w:rPr>
          <w:rFonts w:hint="cs" w:ascii="Simplified Arabic" w:hAnsi="Simplified Arabic" w:cs="Simplified Arabic"/>
          <w:rtl/>
        </w:rPr>
        <w:t>(</w:t>
      </w:r>
      <w:r>
        <w:rPr>
          <w:rFonts w:ascii="Simplified Arabic" w:hAnsi="Simplified Arabic" w:cs="Simplified Arabic"/>
        </w:rPr>
        <w:t xml:space="preserve"> (Wolfe, 2006; Nixon, 2011</w:t>
      </w:r>
    </w:p>
    <w:p w14:paraId="62A65BEA">
      <w:pPr>
        <w:pStyle w:val="10"/>
        <w:bidi/>
        <w:rPr>
          <w:rFonts w:ascii="Simplified Arabic" w:hAnsi="Simplified Arabic" w:cs="Simplified Arabic"/>
        </w:rPr>
      </w:pPr>
      <w:r>
        <w:rPr>
          <w:rFonts w:ascii="Simplified Arabic" w:hAnsi="Simplified Arabic" w:cs="Simplified Arabic"/>
          <w:rtl/>
        </w:rPr>
        <w:t>في فلسطين، تكتسب هذه المسألة كثافة استثنائية، لأن التعليم يقع في قلب صراع يتجاوز الاحتلال العسكري إلى محاولة إعادة تشكيل المكان والوعي والسردية معاً. فمنذ النكبة عام 1948، حين دُمرت مئات المدارس الفلسطينية وهُجّر مئات الآلاف من الطلبة، ظل التعليم ساحة مفتوحة للصراع؛ إذ لم تكن المدارس والجامعات الفلسطينية مجرد أماكن للتعلم، بل حصوناً للهوية، وأوعية للذاكرة، وفضاءات لإنتاج السردية الوطنية في وجه محاولات الطمس والإلغاء</w:t>
      </w:r>
      <w:r>
        <w:rPr>
          <w:rFonts w:ascii="Simplified Arabic" w:hAnsi="Simplified Arabic" w:cs="Simplified Arabic"/>
        </w:rPr>
        <w:t xml:space="preserve"> (Abu Lughod &amp; Sa'di, 2007).</w:t>
      </w:r>
    </w:p>
    <w:p w14:paraId="533C63F5">
      <w:pPr>
        <w:pStyle w:val="10"/>
        <w:bidi/>
        <w:rPr>
          <w:rFonts w:ascii="Simplified Arabic" w:hAnsi="Simplified Arabic" w:cs="Simplified Arabic"/>
          <w:rtl/>
        </w:rPr>
      </w:pPr>
      <w:r>
        <w:rPr>
          <w:rFonts w:ascii="Simplified Arabic" w:hAnsi="Simplified Arabic" w:cs="Simplified Arabic"/>
          <w:rtl/>
        </w:rPr>
        <w:t>في السنوات الأخيرة، بلغ هذا الاستهداف مستويات غير مسبوقة. ففي قطاع غزة، أدت الحرب الأخيرة (2023–2025) إلى تدمير أو تضرر غالبية الجامعات والمدارس، واستشهاد أعداد كبيرة من الأكاديميين والطلبة، وفقاً لتقارير دولية متخصصة</w:t>
      </w:r>
      <w:r>
        <w:rPr>
          <w:rFonts w:ascii="Simplified Arabic" w:hAnsi="Simplified Arabic" w:cs="Simplified Arabic"/>
        </w:rPr>
        <w:t xml:space="preserve"> (UNESCO, 2024; OCHA, 2024; Scholars at Risk, 2024). </w:t>
      </w:r>
      <w:r>
        <w:rPr>
          <w:rFonts w:ascii="Simplified Arabic" w:hAnsi="Simplified Arabic" w:cs="Simplified Arabic"/>
          <w:rtl/>
        </w:rPr>
        <w:t>وتشير تحليلات نوعية إلى نمطية في استهداف الكوادر الأكاديمية في تخصصات العلوم الإنسانية والاجتماعية، أي حَمَلة الذاكرة والرواية الوطنية</w:t>
      </w:r>
      <w:r>
        <w:rPr>
          <w:rFonts w:ascii="Simplified Arabic" w:hAnsi="Simplified Arabic" w:cs="Simplified Arabic"/>
        </w:rPr>
        <w:t xml:space="preserve"> (Nabulsi, 2016; Euro-Med, 2024).</w:t>
      </w:r>
      <w:r>
        <w:rPr>
          <w:rFonts w:hint="cs" w:ascii="Simplified Arabic" w:hAnsi="Simplified Arabic" w:cs="Simplified Arabic"/>
          <w:rtl/>
        </w:rPr>
        <w:t>)</w:t>
      </w:r>
    </w:p>
    <w:p w14:paraId="139593AF">
      <w:pPr>
        <w:pStyle w:val="10"/>
        <w:bidi/>
        <w:rPr>
          <w:rFonts w:ascii="Simplified Arabic" w:hAnsi="Simplified Arabic" w:cs="Simplified Arabic"/>
        </w:rPr>
      </w:pPr>
      <w:r>
        <w:rPr>
          <w:rFonts w:ascii="Simplified Arabic" w:hAnsi="Simplified Arabic" w:cs="Simplified Arabic"/>
          <w:rtl/>
        </w:rPr>
        <w:t xml:space="preserve">في القدس المحتلة، يتخذ الاستهداف شكلاً آخر من أشكال العنف، أبطأ وأقل ظهوراً لكنه لا يقل فتكاً؛ إذ تتضافر سياسات فرض المناهج الإسرائيلية، والضغوط الإدارية والتمويلية، والتهديد بالإغلاق، لتشكيل نمط من </w:t>
      </w:r>
      <w:r>
        <w:rPr>
          <w:rFonts w:ascii="Simplified Arabic" w:hAnsi="Simplified Arabic" w:cs="Simplified Arabic"/>
        </w:rPr>
        <w:t>"</w:t>
      </w:r>
      <w:r>
        <w:rPr>
          <w:rFonts w:ascii="Simplified Arabic" w:hAnsi="Simplified Arabic" w:cs="Simplified Arabic"/>
          <w:rtl/>
        </w:rPr>
        <w:t>العنف البطيء</w:t>
      </w:r>
      <w:r>
        <w:rPr>
          <w:rFonts w:ascii="Simplified Arabic" w:hAnsi="Simplified Arabic" w:cs="Simplified Arabic"/>
        </w:rPr>
        <w:t xml:space="preserve">" </w:t>
      </w:r>
      <w:r>
        <w:rPr>
          <w:rFonts w:ascii="Simplified Arabic" w:hAnsi="Simplified Arabic" w:cs="Simplified Arabic"/>
          <w:rtl/>
        </w:rPr>
        <w:t>يستهدف تفريغ المدرسة الفلسطينية من محتواها الوطني، وإعادة تعريف الطالب المقدسي ضمن سردية سياسية بديلة</w:t>
      </w:r>
      <w:r>
        <w:rPr>
          <w:rFonts w:ascii="Simplified Arabic" w:hAnsi="Simplified Arabic" w:cs="Simplified Arabic"/>
        </w:rPr>
        <w:t xml:space="preserve"> (ACRI, 2019; B'Tselem, 2022; Nixon, 2011). </w:t>
      </w:r>
      <w:r>
        <w:rPr>
          <w:rFonts w:ascii="Simplified Arabic" w:hAnsi="Simplified Arabic" w:cs="Simplified Arabic"/>
          <w:rtl/>
        </w:rPr>
        <w:t>في هذا السياق، لا يقتصر الاستهداف على تدمير المبنى، بل يمتد إلى هندسة الوعي وإعادة تشكيل الهوية على المدى الطويل</w:t>
      </w:r>
      <w:r>
        <w:rPr>
          <w:rFonts w:ascii="Simplified Arabic" w:hAnsi="Simplified Arabic" w:cs="Simplified Arabic"/>
        </w:rPr>
        <w:t>.</w:t>
      </w:r>
    </w:p>
    <w:p w14:paraId="540CE995">
      <w:pPr>
        <w:pStyle w:val="10"/>
        <w:bidi/>
        <w:rPr>
          <w:rFonts w:ascii="Simplified Arabic" w:hAnsi="Simplified Arabic" w:cs="Simplified Arabic"/>
        </w:rPr>
      </w:pPr>
      <w:r>
        <w:rPr>
          <w:rFonts w:ascii="Simplified Arabic" w:hAnsi="Simplified Arabic" w:cs="Simplified Arabic"/>
          <w:rtl/>
        </w:rPr>
        <w:t>تُظهر هاتان الحالتان أن ما يجري في فلسطين لا يمكن فهمه ضمن إطارين منفصلين: أزمة إنسانية طارئة في غزة، وإشكالية تربوية–إدارية في القدس؛ فمثل هذا الفصل يُنتج معرفة تجزيئية تفشل في إدراك البنية الاستعمارية المشتركة التي تربط بين التدمير السريع للجامعات والمدارس من جهة، وبين المحو المعرفي البطيء عبر السياسات والمناهج والرقابة من جهة أخرى</w:t>
      </w:r>
      <w:r>
        <w:rPr>
          <w:rFonts w:ascii="Simplified Arabic" w:hAnsi="Simplified Arabic" w:cs="Simplified Arabic"/>
        </w:rPr>
        <w:t xml:space="preserve"> (Wolfe, 2006; Veracini, 2013)</w:t>
      </w:r>
      <w:r>
        <w:rPr>
          <w:rFonts w:hint="cs" w:ascii="Simplified Arabic" w:hAnsi="Simplified Arabic" w:cs="Simplified Arabic"/>
          <w:rtl/>
        </w:rPr>
        <w:t>.</w:t>
      </w:r>
    </w:p>
    <w:p w14:paraId="4C96714B">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hint="cs" w:ascii="Simplified Arabic" w:hAnsi="Simplified Arabic" w:eastAsia="Times New Roman" w:cs="Simplified Arabic"/>
          <w:b/>
          <w:bCs/>
          <w:sz w:val="24"/>
          <w:szCs w:val="24"/>
          <w:rtl/>
        </w:rPr>
        <w:t xml:space="preserve"> ثانياً: </w:t>
      </w:r>
      <w:r>
        <w:rPr>
          <w:rFonts w:ascii="Simplified Arabic" w:hAnsi="Simplified Arabic" w:eastAsia="Times New Roman" w:cs="Simplified Arabic"/>
          <w:b/>
          <w:bCs/>
          <w:sz w:val="24"/>
          <w:szCs w:val="24"/>
          <w:rtl/>
        </w:rPr>
        <w:t>أهمية الدراسة</w:t>
      </w:r>
    </w:p>
    <w:p w14:paraId="01E38ACD">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تتجلّى أهمية هذه الدراسة على مستويين متكاملين: نظري وتطبيقي</w:t>
      </w:r>
      <w:r>
        <w:rPr>
          <w:rFonts w:ascii="Simplified Arabic" w:hAnsi="Simplified Arabic" w:eastAsia="Times New Roman" w:cs="Simplified Arabic"/>
          <w:sz w:val="24"/>
          <w:szCs w:val="24"/>
        </w:rPr>
        <w:t>.</w:t>
      </w:r>
    </w:p>
    <w:p w14:paraId="44F7401E">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على المستوى النظري، تكمن الأهمية في سد فجوة معرفية واضحة في الأدبيات الأكاديمية التي تناولت التعليم الفلسطيني، إذ فصلت معظم الدراسات السابقة بين مسألة إبادة التعليم من جهة، وتآكل الأمن الوجودي من جهة أخرى، دون تقديم إطار تحليلي يربط بينهما. كما تقدم الدراسة مفهوم "الجامعة الشاهدة" بوصفه مساهمة نظرية أصيلة تُعيد تعريف دور المؤسسة التعليمية في سياقات الإبادة من موقع الضعف إلى موقع الفعل والمقاومة المعرفية. إضافة إلى ذلك، تبني الدراسة جسراً بين ثلاثة حقول معرفية نادراً ما اجتمعت في إطار واحد، هي: دراسات الاستعمار الاستيطاني، ونظرية الأمن الوجودي، وأدبيات السيادة المعرفية للشعوب الأصلية</w:t>
      </w:r>
      <w:r>
        <w:rPr>
          <w:rFonts w:ascii="Simplified Arabic" w:hAnsi="Simplified Arabic" w:eastAsia="Times New Roman" w:cs="Simplified Arabic"/>
          <w:sz w:val="24"/>
          <w:szCs w:val="24"/>
        </w:rPr>
        <w:t>.</w:t>
      </w:r>
    </w:p>
    <w:p w14:paraId="6E6786C3">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أما على المستوى التطبيقي، فتقدّم الدراسة استراتيجيات عملية قابلة للتطبيق المباشر للجامعات والمؤسسات التعليمية الفلسطينية، من قبيل برامج التعليم الطارئ في ظروف الحروب والحصار، والأرشفة الرقمية للذاكرة المعرفية، وبناء شبكات تعاون أكاديمي لا مركزية. كما تُوفّر الدراسة أدلة موثقة وتحليلاً أكاديمياً صارماً يمكن استخدامه في جهود المناصرة الدولية والمقاضاة القانونية لإدانة إبادة التعليم بوصفها انتهاكاً جسيماً للقانون الدولي</w:t>
      </w:r>
      <w:r>
        <w:rPr>
          <w:rFonts w:ascii="Simplified Arabic" w:hAnsi="Simplified Arabic" w:eastAsia="Times New Roman" w:cs="Simplified Arabic"/>
          <w:sz w:val="24"/>
          <w:szCs w:val="24"/>
        </w:rPr>
        <w:t>.</w:t>
      </w:r>
    </w:p>
    <w:p w14:paraId="3CA191EC">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hint="cs" w:ascii="Simplified Arabic" w:hAnsi="Simplified Arabic" w:eastAsia="Times New Roman" w:cs="Simplified Arabic"/>
          <w:b/>
          <w:bCs/>
          <w:sz w:val="24"/>
          <w:szCs w:val="24"/>
          <w:rtl/>
        </w:rPr>
        <w:t xml:space="preserve">ثالثاً: </w:t>
      </w:r>
      <w:r>
        <w:rPr>
          <w:rFonts w:ascii="Simplified Arabic" w:hAnsi="Simplified Arabic" w:eastAsia="Times New Roman" w:cs="Simplified Arabic"/>
          <w:b/>
          <w:bCs/>
          <w:sz w:val="24"/>
          <w:szCs w:val="24"/>
          <w:rtl/>
        </w:rPr>
        <w:t xml:space="preserve">مشكلة الدراسة </w:t>
      </w:r>
    </w:p>
    <w:p w14:paraId="5C46B21A">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على الرغم من الحضور المتزايد لموضوع استهداف التعليم الفلسطيني في التقارير الحقوقية والإنسانية، إلا أن معظم المعالجات السائدة تعاملت مع هذه الظاهرة بوصفها خسائر مرتبطة بالحرب أو أضراراً جانبية للصراع، دون تفكيك أبعادها البنيوية بوصفها ممارسة تستهدف الوجود الفلسطيني ذاته. فالتدمير الواسع للمؤسسات التعليمية، واستهداف الكوادر الأكاديمية، وفرض المناهج المحرفة، وتقييد البيئة التعليمية، لا يقتصر أثره على تعطيل العملية التعليمية، بل يمتد إلى تقويض القدرة الجمعية للفلسطينيين على حفظ ذاكرتهم التاريخية وإعادة إنتاج هويتهم واستمراريتهم المجتمعية</w:t>
      </w:r>
      <w:r>
        <w:rPr>
          <w:rFonts w:ascii="Simplified Arabic" w:hAnsi="Simplified Arabic" w:eastAsia="Times New Roman" w:cs="Simplified Arabic"/>
          <w:sz w:val="24"/>
          <w:szCs w:val="24"/>
        </w:rPr>
        <w:t>.</w:t>
      </w:r>
    </w:p>
    <w:p w14:paraId="45B79718">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وتتجلى المشكلة البحثية بصورة أكثر تعقيداً في وجود نمطين متداخلين من الاستهداف؛ الأول عنيف ومباشر يتمثل في التدمير الشامل للمؤسسات التعليمية في غزة، والثاني تدريجي وتراكمي يتمثل في سياسات إعادة تشكيل الوعي والمناهج في القدس. هذا التداخل يطرح إشكالية تتجاوز البعد التعليمي إلى بعد وجودي ومعرفي يرتبط بقدرة المجتمع الفلسطيني على الحفاظ على تماسكه الرمزي والسردي في ظل محاولات المحو والإزالة</w:t>
      </w:r>
      <w:r>
        <w:rPr>
          <w:rFonts w:ascii="Simplified Arabic" w:hAnsi="Simplified Arabic" w:eastAsia="Times New Roman" w:cs="Simplified Arabic"/>
          <w:sz w:val="24"/>
          <w:szCs w:val="24"/>
        </w:rPr>
        <w:t>.</w:t>
      </w:r>
    </w:p>
    <w:p w14:paraId="6E1EEFF5">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ورغم خطورة هذه التحولات، لا تزال الأدبيات الأكاديمية تفتقر إلى إطار تحليلي يفسر العلاقة بين إبادة التعليم وتآكل الأمن الوجودي، كما أنها لم تعالج بصورة كافية الكيفية التي تتحول بها الممارسات التعليمية الفلسطينية نفسها إلى أدوات مقاومة وإعادة إنتاج للوجود الجماعي. ومن هنا تنبع الإشكالية المركزية للدراسة، والمتمثلة في محاولة تفسير الكيفية التي تعمل بها إبادة التعليم على إعادة تشكيل العلاقة بين التعليم والهوية والوجود الفلسطيني، مقابل فهم الآليات التي يُنتج الفلسطينيون من خلالها أشكالاً جديدة من الصمود المعرفي والوجودي في مواجهة المحو الاستعماري</w:t>
      </w:r>
      <w:r>
        <w:rPr>
          <w:rFonts w:ascii="Simplified Arabic" w:hAnsi="Simplified Arabic" w:eastAsia="Times New Roman" w:cs="Simplified Arabic"/>
          <w:sz w:val="24"/>
          <w:szCs w:val="24"/>
        </w:rPr>
        <w:t>.</w:t>
      </w:r>
    </w:p>
    <w:p w14:paraId="6ED52B3E">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وبناءً على ذلك، تتبلور إشكالية الدراسة في السؤال الآتي: كيف تعمل إبادة التعليم، في صورتيها السريعة في غزة والبطيئة في القدس، على تقويض الأمن الوجودي الفلسطيني، وكيف يُعاد إنتاج هذا الوجود عبر ممارسات الصمود الوجودي وتحول الجامعة إلى جامعة شاهدة؟</w:t>
      </w:r>
    </w:p>
    <w:p w14:paraId="5675DCCB">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hint="cs" w:ascii="Simplified Arabic" w:hAnsi="Simplified Arabic" w:eastAsia="Times New Roman" w:cs="Simplified Arabic"/>
          <w:b/>
          <w:bCs/>
          <w:sz w:val="24"/>
          <w:szCs w:val="24"/>
          <w:rtl/>
        </w:rPr>
        <w:t xml:space="preserve">رابعاً : </w:t>
      </w:r>
      <w:r>
        <w:rPr>
          <w:rFonts w:ascii="Simplified Arabic" w:hAnsi="Simplified Arabic" w:eastAsia="Times New Roman" w:cs="Simplified Arabic"/>
          <w:b/>
          <w:bCs/>
          <w:sz w:val="24"/>
          <w:szCs w:val="24"/>
          <w:rtl/>
        </w:rPr>
        <w:t>أهداف الدراسة</w:t>
      </w:r>
    </w:p>
    <w:p w14:paraId="25D56484">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تهدف هذه الدراسة إلى تحقيق خمسة أهداف رئيسة</w:t>
      </w:r>
      <w:r>
        <w:rPr>
          <w:rFonts w:ascii="Simplified Arabic" w:hAnsi="Simplified Arabic" w:eastAsia="Times New Roman" w:cs="Simplified Arabic"/>
          <w:b/>
          <w:bCs/>
          <w:sz w:val="24"/>
          <w:szCs w:val="24"/>
        </w:rPr>
        <w:t>:</w:t>
      </w:r>
    </w:p>
    <w:p w14:paraId="3B9D50C1">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b/>
          <w:bCs/>
          <w:sz w:val="24"/>
          <w:szCs w:val="24"/>
        </w:rPr>
        <w:t>1.</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تحليل أنماط إبادة التعليم في السياق الفلسطيني، وبخاصة في قطاع غزة ومدينة القدس، بوصفها ممارسة استعمارية استيطانية تتجاوز التدمير المادي إلى استهداف البنى المعرفية والوجودية</w:t>
      </w:r>
      <w:r>
        <w:rPr>
          <w:rFonts w:ascii="Simplified Arabic" w:hAnsi="Simplified Arabic" w:eastAsia="Times New Roman" w:cs="Simplified Arabic"/>
          <w:sz w:val="24"/>
          <w:szCs w:val="24"/>
        </w:rPr>
        <w:t>.</w:t>
      </w:r>
    </w:p>
    <w:p w14:paraId="70F1B49B">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2.</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تفسير العلاقة الجدلية بين إبادة التعليم وتآكل الأمن الوجودي لدى الفلسطينيين، من خلال تتبع مؤشرات فقدان الثقة في استمرارية الذات والمستقبل</w:t>
      </w:r>
      <w:r>
        <w:rPr>
          <w:rFonts w:ascii="Simplified Arabic" w:hAnsi="Simplified Arabic" w:eastAsia="Times New Roman" w:cs="Simplified Arabic"/>
          <w:sz w:val="24"/>
          <w:szCs w:val="24"/>
        </w:rPr>
        <w:t>.</w:t>
      </w:r>
    </w:p>
    <w:p w14:paraId="74DBCD83">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3.</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استكشاف أشكال الصمود الوجودي التي يُنتجها الفلسطينيون في سياقات التعليم تحت القصف أو تحت سياسات فرض المناهج، وتحليل كيف يُعيد التعليم، في ظل شروط الإبادة، بناء المعنى والاستمرارية الجمعية</w:t>
      </w:r>
      <w:r>
        <w:rPr>
          <w:rFonts w:ascii="Simplified Arabic" w:hAnsi="Simplified Arabic" w:eastAsia="Times New Roman" w:cs="Simplified Arabic"/>
          <w:sz w:val="24"/>
          <w:szCs w:val="24"/>
        </w:rPr>
        <w:t>.</w:t>
      </w:r>
    </w:p>
    <w:p w14:paraId="547207ED">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4.</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تطوير مفهوم "الجامعة الشاهدة" بوصفه إطاراً تحليلياً يعيد تعريف دور المؤسسة الأكاديمية في سياقات الإبادة، وتحديد وظائفها في التوثيق، والشهادة، والمقاومة المعرفية</w:t>
      </w:r>
      <w:r>
        <w:rPr>
          <w:rFonts w:ascii="Simplified Arabic" w:hAnsi="Simplified Arabic" w:eastAsia="Times New Roman" w:cs="Simplified Arabic"/>
          <w:sz w:val="24"/>
          <w:szCs w:val="24"/>
        </w:rPr>
        <w:t>.</w:t>
      </w:r>
    </w:p>
    <w:p w14:paraId="77EA42D0">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5.</w:t>
      </w:r>
      <w:r>
        <w:rPr>
          <w:rFonts w:ascii="Simplified Arabic" w:hAnsi="Simplified Arabic" w:eastAsia="Times New Roman" w:cs="Simplified Arabic"/>
          <w:sz w:val="24"/>
          <w:szCs w:val="24"/>
          <w:rtl/>
        </w:rPr>
        <w:tab/>
      </w:r>
      <w:r>
        <w:rPr>
          <w:rFonts w:ascii="Simplified Arabic" w:hAnsi="Simplified Arabic" w:eastAsia="Times New Roman" w:cs="Simplified Arabic"/>
          <w:sz w:val="24"/>
          <w:szCs w:val="24"/>
          <w:rtl/>
        </w:rPr>
        <w:t>اقتراح توصيات عملية للجامعات الفلسطينية والمجتمع الدولي والجهات الأكاديمية المعنية، تسهم في تعزيز الصمود المعرفي ومواجهة سياسات المحو الاستعماري.</w:t>
      </w:r>
    </w:p>
    <w:p w14:paraId="2B256C7A">
      <w:pPr>
        <w:bidi/>
        <w:spacing w:before="100" w:beforeAutospacing="1" w:after="100" w:afterAutospacing="1" w:line="240" w:lineRule="auto"/>
        <w:outlineLvl w:val="2"/>
        <w:rPr>
          <w:rFonts w:ascii="Simplified Arabic" w:hAnsi="Simplified Arabic" w:eastAsia="Times New Roman" w:cs="Simplified Arabic"/>
          <w:b/>
          <w:bCs/>
          <w:sz w:val="28"/>
          <w:szCs w:val="28"/>
          <w:rtl/>
        </w:rPr>
      </w:pPr>
      <w:r>
        <w:rPr>
          <w:rFonts w:hint="cs" w:ascii="Simplified Arabic" w:hAnsi="Simplified Arabic" w:eastAsia="Times New Roman" w:cs="Simplified Arabic"/>
          <w:b/>
          <w:bCs/>
          <w:sz w:val="28"/>
          <w:szCs w:val="28"/>
          <w:rtl/>
        </w:rPr>
        <w:t xml:space="preserve">خامساً </w:t>
      </w:r>
      <w:r>
        <w:rPr>
          <w:rFonts w:ascii="Simplified Arabic" w:hAnsi="Simplified Arabic" w:eastAsia="Times New Roman" w:cs="Simplified Arabic"/>
          <w:b/>
          <w:bCs/>
          <w:sz w:val="28"/>
          <w:szCs w:val="28"/>
          <w:rtl/>
        </w:rPr>
        <w:t>: حدود الدراسة</w:t>
      </w:r>
    </w:p>
    <w:p w14:paraId="12A341BF">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تتحدد هذه الدراسة بمجموعة من الحدود المنهجية والمعرفية التي ترسم نطاقها التحليلي، وتُسهم في ضبط النتائج ضمن سياقها الواقعي، بما يمنع التعميم غير المنضبط أو التوسع غير المبرر في الاستنتاجات</w:t>
      </w:r>
      <w:r>
        <w:rPr>
          <w:rFonts w:ascii="Simplified Arabic" w:hAnsi="Simplified Arabic" w:eastAsia="Times New Roman" w:cs="Simplified Arabic"/>
          <w:sz w:val="24"/>
          <w:szCs w:val="24"/>
        </w:rPr>
        <w:t>.</w:t>
      </w:r>
    </w:p>
    <w:p w14:paraId="2057645C">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أولاً: الحدود المكانية</w:t>
      </w:r>
    </w:p>
    <w:p w14:paraId="6BF36876">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تركّز الدراسة على حالتين فلسطينيتين أساسيتين تمثلان نمطين مختلفين من استهداف التعليم</w:t>
      </w:r>
      <w:r>
        <w:rPr>
          <w:rFonts w:ascii="Simplified Arabic" w:hAnsi="Simplified Arabic" w:eastAsia="Times New Roman" w:cs="Simplified Arabic"/>
          <w:sz w:val="24"/>
          <w:szCs w:val="24"/>
        </w:rPr>
        <w:t>.</w:t>
      </w:r>
    </w:p>
    <w:p w14:paraId="79898EB9">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قطاع غزة: نموذج للإبادة التعليمية المباشرة والسريعة الناتجة عن التدمير العسكري واسع النطاق للجامعات والمدارس والمكتبات واستهداف الكوادر الأكاديمية</w:t>
      </w:r>
      <w:r>
        <w:rPr>
          <w:rFonts w:ascii="Simplified Arabic" w:hAnsi="Simplified Arabic" w:eastAsia="Times New Roman" w:cs="Simplified Arabic"/>
          <w:sz w:val="24"/>
          <w:szCs w:val="24"/>
        </w:rPr>
        <w:t>.</w:t>
      </w:r>
    </w:p>
    <w:p w14:paraId="370B2A5D">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مدينة القدس: نموذج للإبادة التعليمية البطيئة والتراكمية عبر سياسات الأسرلة، وفرض المناهج المحرّفة، والقيود الإدارية والتمويلية على المدارس الفلسطينية</w:t>
      </w:r>
      <w:r>
        <w:rPr>
          <w:rFonts w:ascii="Simplified Arabic" w:hAnsi="Simplified Arabic" w:eastAsia="Times New Roman" w:cs="Simplified Arabic"/>
          <w:sz w:val="24"/>
          <w:szCs w:val="24"/>
        </w:rPr>
        <w:t>.</w:t>
      </w:r>
    </w:p>
    <w:p w14:paraId="5C7F796A">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يُشار إلى الداخل الفلسطيني (أراضي 1948) في حدود المقارنة التفسيرية فقط، دون اعتباره مجالاً ميدانياً مستقلاً للدراسة</w:t>
      </w:r>
      <w:r>
        <w:rPr>
          <w:rFonts w:ascii="Simplified Arabic" w:hAnsi="Simplified Arabic" w:eastAsia="Times New Roman" w:cs="Simplified Arabic"/>
          <w:sz w:val="24"/>
          <w:szCs w:val="24"/>
        </w:rPr>
        <w:t>.</w:t>
      </w:r>
    </w:p>
    <w:p w14:paraId="45B4A96D">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ثانياً: الحدود الزمانية</w:t>
      </w:r>
    </w:p>
    <w:p w14:paraId="7028C9C2">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تمتد الخلفية التاريخية للدراسة إلى نكبة عام 1948، باعتبارها اللحظة التأسيسية لاستهداف التعليم الفلسطيني</w:t>
      </w:r>
      <w:r>
        <w:rPr>
          <w:rFonts w:ascii="Simplified Arabic" w:hAnsi="Simplified Arabic" w:eastAsia="Times New Roman" w:cs="Simplified Arabic"/>
          <w:sz w:val="24"/>
          <w:szCs w:val="24"/>
        </w:rPr>
        <w:t>.</w:t>
      </w:r>
    </w:p>
    <w:p w14:paraId="79019825">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يتركّز التحليل الرئيس على الفترة بين أكتوبر 2023 ويناير 2025، وهي المرحلة التي شهدت تصاعداً غير مسبوق في استهداف المؤسسات التعليمية في غزة والقدس</w:t>
      </w:r>
      <w:r>
        <w:rPr>
          <w:rFonts w:ascii="Simplified Arabic" w:hAnsi="Simplified Arabic" w:eastAsia="Times New Roman" w:cs="Simplified Arabic"/>
          <w:sz w:val="24"/>
          <w:szCs w:val="24"/>
        </w:rPr>
        <w:t>.</w:t>
      </w:r>
    </w:p>
    <w:p w14:paraId="33FEF37D">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تم اختيار هذه الفترة لأنها تمثل ذروة إبادة التعليم في صورتيها المباشرة والبطيئة، وتكشف عن تداخل العنف العسكري مع السياسات التربوية والإدارية في إعادة تشكيل الهوية والوعي الفلسطيني</w:t>
      </w:r>
      <w:r>
        <w:rPr>
          <w:rFonts w:ascii="Simplified Arabic" w:hAnsi="Simplified Arabic" w:eastAsia="Times New Roman" w:cs="Simplified Arabic"/>
          <w:sz w:val="24"/>
          <w:szCs w:val="24"/>
        </w:rPr>
        <w:t>.</w:t>
      </w:r>
    </w:p>
    <w:p w14:paraId="13EF5F6B">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ثالثاً: الحدود الموضوعية</w:t>
      </w:r>
    </w:p>
    <w:p w14:paraId="67230BEF">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تقتصر الدراسة على التعليم المدرسي والتعليم العالي ضمن إطار «إبادة التعليم</w:t>
      </w:r>
      <w:r>
        <w:rPr>
          <w:rFonts w:ascii="Simplified Arabic" w:hAnsi="Simplified Arabic" w:eastAsia="Times New Roman" w:cs="Simplified Arabic"/>
          <w:sz w:val="24"/>
          <w:szCs w:val="24"/>
        </w:rPr>
        <w:t>».</w:t>
      </w:r>
    </w:p>
    <w:p w14:paraId="61966676">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لا تتناول الدراسة التعليم المهني أو غير النظامي إلا في الحدود التي تخدم البناء التفسيري الرئيس</w:t>
      </w:r>
      <w:r>
        <w:rPr>
          <w:rFonts w:ascii="Simplified Arabic" w:hAnsi="Simplified Arabic" w:eastAsia="Times New Roman" w:cs="Simplified Arabic"/>
          <w:sz w:val="24"/>
          <w:szCs w:val="24"/>
        </w:rPr>
        <w:t>.</w:t>
      </w:r>
    </w:p>
    <w:p w14:paraId="29A94A8E">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يركّز التحليل على دور المدارس والجامعات في إنتاج الهوية والذاكرة والسيادة المعرفية، بوصفها مؤسسات مركزية في الصراع على الوجود الفلسطيني</w:t>
      </w:r>
      <w:r>
        <w:rPr>
          <w:rFonts w:ascii="Simplified Arabic" w:hAnsi="Simplified Arabic" w:eastAsia="Times New Roman" w:cs="Simplified Arabic"/>
          <w:sz w:val="24"/>
          <w:szCs w:val="24"/>
        </w:rPr>
        <w:t>.</w:t>
      </w:r>
    </w:p>
    <w:p w14:paraId="1B25A095">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رابعاً: الحدود البشرية</w:t>
      </w:r>
    </w:p>
    <w:p w14:paraId="47B38659">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تعتمد الدراسة على عينة قصدية مكوّنة من 22 مشاركاً من الأكاديميين والمعلمين والطلبة</w:t>
      </w:r>
      <w:r>
        <w:rPr>
          <w:rFonts w:ascii="Simplified Arabic" w:hAnsi="Simplified Arabic" w:eastAsia="Times New Roman" w:cs="Simplified Arabic"/>
          <w:sz w:val="24"/>
          <w:szCs w:val="24"/>
        </w:rPr>
        <w:t>.</w:t>
      </w:r>
    </w:p>
    <w:p w14:paraId="01F97190">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من قطاع غزة: شارك 12 فرداً، بينهم أساتذة جامعيون، معلمون في المدارس الثانوية، وطلبة جامعيون، ممن عاشوا تجربة التعليم تحت ظروف القصف المباشر وتدمير المؤسسات التعليمية</w:t>
      </w:r>
      <w:r>
        <w:rPr>
          <w:rFonts w:ascii="Simplified Arabic" w:hAnsi="Simplified Arabic" w:eastAsia="Times New Roman" w:cs="Simplified Arabic"/>
          <w:sz w:val="24"/>
          <w:szCs w:val="24"/>
        </w:rPr>
        <w:t>.</w:t>
      </w:r>
    </w:p>
    <w:p w14:paraId="727007E1">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من مدينة القدس: شارك 10 أفراد، بينهم معلمون في المدارس الفلسطينية، إداريون تربويون، وطلبة، ممن واجهوا سياسات الأسرلة وفرض المناهج المحرّفة والقيود التمويلية والإدارية</w:t>
      </w:r>
      <w:r>
        <w:rPr>
          <w:rFonts w:ascii="Simplified Arabic" w:hAnsi="Simplified Arabic" w:eastAsia="Times New Roman" w:cs="Simplified Arabic"/>
          <w:sz w:val="24"/>
          <w:szCs w:val="24"/>
        </w:rPr>
        <w:t>.</w:t>
      </w:r>
    </w:p>
    <w:p w14:paraId="373345F5">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Pr>
        <w:tab/>
      </w:r>
      <w:r>
        <w:rPr>
          <w:rFonts w:ascii="Simplified Arabic" w:hAnsi="Simplified Arabic" w:eastAsia="Times New Roman" w:cs="Simplified Arabic"/>
          <w:sz w:val="24"/>
          <w:szCs w:val="24"/>
          <w:rtl/>
        </w:rPr>
        <w:t>توسّعت أدوات جمع البيانات لتشمل الاستبانات الميدانية والمقابلات المعمقة، بهدف رصد التجارب الفردية والجماعية وتحليلها في ضوء الإطار التفسيري للدراسة</w:t>
      </w:r>
      <w:r>
        <w:rPr>
          <w:rFonts w:ascii="Simplified Arabic" w:hAnsi="Simplified Arabic" w:eastAsia="Times New Roman" w:cs="Simplified Arabic"/>
          <w:sz w:val="24"/>
          <w:szCs w:val="24"/>
        </w:rPr>
        <w:t>.</w:t>
      </w:r>
    </w:p>
    <w:p w14:paraId="23A1A5F5">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w:t>
      </w:r>
      <w:r>
        <w:rPr>
          <w:rFonts w:ascii="Simplified Arabic" w:hAnsi="Simplified Arabic" w:eastAsia="Times New Roman" w:cs="Simplified Arabic"/>
          <w:sz w:val="24"/>
          <w:szCs w:val="24"/>
          <w:rtl/>
        </w:rPr>
        <w:tab/>
      </w:r>
      <w:r>
        <w:rPr>
          <w:rFonts w:ascii="Simplified Arabic" w:hAnsi="Simplified Arabic" w:eastAsia="Times New Roman" w:cs="Simplified Arabic"/>
          <w:sz w:val="24"/>
          <w:szCs w:val="24"/>
          <w:rtl/>
        </w:rPr>
        <w:t>لا تدّعي الدراسة تمثيلاً إحصائياً شاملاً للمجتمع الفلسطيني، بل تهدف إلى تقديم قراءة تفسيرية معمقة للخبرة التعليمية تحت شروط الاستهداف الاستعماري، مع التركيز على الكيفية التي يعيد بها الفاعلون التعليميون إنتاج المعنى والهوية في ظل التهديد والإبادة.</w:t>
      </w:r>
    </w:p>
    <w:p w14:paraId="7204F22D">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سابعاً: الإطار المفاهيمي</w:t>
      </w:r>
    </w:p>
    <w:p w14:paraId="4D7ED4C1">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ينطلق هذا البحث من مقاربة ترى أن التعليم في السياق الفلسطيني ليس مجرد مؤسسة خدمية محايدة أو فضاء تقني لنقل المعرفة، بل هو أحد الحقول المركزية للصراع على الوجود والذاكرة والهوية والسيادة المعرفية</w:t>
      </w:r>
      <w:r>
        <w:rPr>
          <w:rFonts w:ascii="Simplified Arabic" w:hAnsi="Simplified Arabic" w:eastAsia="Times New Roman" w:cs="Simplified Arabic"/>
          <w:sz w:val="24"/>
          <w:szCs w:val="24"/>
        </w:rPr>
        <w:t xml:space="preserve"> (Giddens, 1991, p. 92; Smith, 2012, p. 7). </w:t>
      </w:r>
      <w:r>
        <w:rPr>
          <w:rFonts w:ascii="Simplified Arabic" w:hAnsi="Simplified Arabic" w:eastAsia="Times New Roman" w:cs="Simplified Arabic"/>
          <w:sz w:val="24"/>
          <w:szCs w:val="24"/>
          <w:rtl/>
        </w:rPr>
        <w:t>ومن هنا، فإن المفاهيم المستخدمة لا تؤدي وظيفة تعريفية معجمية فقط، وإنما تُستثمر كأدوات تفسيرية لتحليل أنماط العنف الاستعماري وأشكال المقاومة المعرفية الفلسطينية</w:t>
      </w:r>
      <w:r>
        <w:rPr>
          <w:rFonts w:ascii="Simplified Arabic" w:hAnsi="Simplified Arabic" w:eastAsia="Times New Roman" w:cs="Simplified Arabic"/>
          <w:sz w:val="24"/>
          <w:szCs w:val="24"/>
        </w:rPr>
        <w:t xml:space="preserve"> (Quijano, 2000, p. 540; Mignolo, 2011, p. 9).</w:t>
      </w:r>
    </w:p>
    <w:p w14:paraId="6A27F84C">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أولاً: إبادة التعليم</w:t>
      </w:r>
      <w:r>
        <w:rPr>
          <w:rFonts w:ascii="Simplified Arabic" w:hAnsi="Simplified Arabic" w:eastAsia="Times New Roman" w:cs="Simplified Arabic"/>
          <w:b/>
          <w:bCs/>
          <w:sz w:val="24"/>
          <w:szCs w:val="24"/>
        </w:rPr>
        <w:t xml:space="preserve"> (Educide)</w:t>
      </w:r>
    </w:p>
    <w:p w14:paraId="4C2D5FA3">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يُقصد بها التدمير</w:t>
      </w:r>
      <w:r>
        <w:rPr>
          <w:rFonts w:ascii="Simplified Arabic" w:hAnsi="Simplified Arabic" w:eastAsia="Times New Roman" w:cs="Simplified Arabic"/>
          <w:b/>
          <w:bCs/>
          <w:sz w:val="24"/>
          <w:szCs w:val="24"/>
          <w:rtl/>
        </w:rPr>
        <w:t xml:space="preserve"> </w:t>
      </w:r>
      <w:r>
        <w:rPr>
          <w:rFonts w:ascii="Simplified Arabic" w:hAnsi="Simplified Arabic" w:eastAsia="Times New Roman" w:cs="Simplified Arabic"/>
          <w:sz w:val="24"/>
          <w:szCs w:val="24"/>
          <w:rtl/>
        </w:rPr>
        <w:t>المنهجي والمتعمد للبنية التعليمية في أبعادها المادية والبشرية والرمزية، بما يؤدي إلى تعطيل قدرة الجماعة على إنتاج المعرفة ونقل الذاكرة وإعادة إنتاج وجودها الجمعي</w:t>
      </w:r>
      <w:r>
        <w:rPr>
          <w:rFonts w:ascii="Simplified Arabic" w:hAnsi="Simplified Arabic" w:eastAsia="Times New Roman" w:cs="Simplified Arabic"/>
          <w:sz w:val="24"/>
          <w:szCs w:val="24"/>
        </w:rPr>
        <w:t xml:space="preserve"> (Bennoune, 2009, p. 148; Nabulsi, 2016, p. 38). </w:t>
      </w:r>
      <w:r>
        <w:rPr>
          <w:rFonts w:ascii="Simplified Arabic" w:hAnsi="Simplified Arabic" w:eastAsia="Times New Roman" w:cs="Simplified Arabic"/>
          <w:sz w:val="24"/>
          <w:szCs w:val="24"/>
          <w:rtl/>
        </w:rPr>
        <w:t>ولا يقتصر المفهوم على قصف المدارس والجامعات، بل يشمل أيضاً استهداف الكوادر الأكاديمية، تعطيل العملية التعليمية، فرض المناهج الاستعمارية، وتشويه الرواية التاريخية، كما وثّقت تقارير دولية في حالة غزة والقدس</w:t>
      </w:r>
      <w:r>
        <w:rPr>
          <w:rFonts w:ascii="Simplified Arabic" w:hAnsi="Simplified Arabic" w:eastAsia="Times New Roman" w:cs="Simplified Arabic"/>
          <w:sz w:val="24"/>
          <w:szCs w:val="24"/>
        </w:rPr>
        <w:t xml:space="preserve"> (UNESCO, 2024, p. 4). </w:t>
      </w:r>
      <w:r>
        <w:rPr>
          <w:rFonts w:ascii="Simplified Arabic" w:hAnsi="Simplified Arabic" w:eastAsia="Times New Roman" w:cs="Simplified Arabic"/>
          <w:sz w:val="24"/>
          <w:szCs w:val="24"/>
          <w:rtl/>
        </w:rPr>
        <w:t>ويُستخدم هذا المفهوم في الدراسة لفهم كيف يتحول التعليم إلى ساحة مركزية للصراع على البقاء والهوية</w:t>
      </w:r>
      <w:r>
        <w:rPr>
          <w:rFonts w:ascii="Simplified Arabic" w:hAnsi="Simplified Arabic" w:eastAsia="Times New Roman" w:cs="Simplified Arabic"/>
          <w:sz w:val="24"/>
          <w:szCs w:val="24"/>
        </w:rPr>
        <w:t>.</w:t>
      </w:r>
    </w:p>
    <w:p w14:paraId="68BACD53">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ثانياً: الأمن الوجودي</w:t>
      </w:r>
      <w:r>
        <w:rPr>
          <w:rFonts w:ascii="Simplified Arabic" w:hAnsi="Simplified Arabic" w:eastAsia="Times New Roman" w:cs="Simplified Arabic"/>
          <w:b/>
          <w:bCs/>
          <w:sz w:val="24"/>
          <w:szCs w:val="24"/>
        </w:rPr>
        <w:t xml:space="preserve"> (Ontological Security)</w:t>
      </w:r>
    </w:p>
    <w:p w14:paraId="67D635E7">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يشير إلى شعور الأفراد والجماعات بالاستمرارية والثبات والقدرة على توقع العالم المحيط بوصفه فضاءً قابلاً للمعنى، وهو ما يرتبط باستقرار الروتين اليومي، تماسك السردية الذاتية، والثقة بالمؤسسات الاجتماعية</w:t>
      </w:r>
      <w:r>
        <w:rPr>
          <w:rFonts w:ascii="Simplified Arabic" w:hAnsi="Simplified Arabic" w:eastAsia="Times New Roman" w:cs="Simplified Arabic"/>
          <w:sz w:val="24"/>
          <w:szCs w:val="24"/>
        </w:rPr>
        <w:t xml:space="preserve"> (Giddens, 1991, p. 92; Mitzen, 2006, p. 342). </w:t>
      </w:r>
      <w:r>
        <w:rPr>
          <w:rFonts w:ascii="Simplified Arabic" w:hAnsi="Simplified Arabic" w:eastAsia="Times New Roman" w:cs="Simplified Arabic"/>
          <w:sz w:val="24"/>
          <w:szCs w:val="24"/>
          <w:rtl/>
        </w:rPr>
        <w:t>وتُوظّف الدراسة هذا المفهوم لتحليل الكيفية التي يؤدي بها استهداف التعليم إلى زعزعة الإحساس بالاستمرارية لدى الفلسطينيين، من خلال تعطيل الحياة اليومية، وقطع العلاقة بالمستقبل، وإضعاف الثقة بالمؤسسات التعليمية بوصفها حوامل للهوية والذاكرة</w:t>
      </w:r>
      <w:r>
        <w:rPr>
          <w:rFonts w:ascii="Simplified Arabic" w:hAnsi="Simplified Arabic" w:eastAsia="Times New Roman" w:cs="Simplified Arabic"/>
          <w:sz w:val="24"/>
          <w:szCs w:val="24"/>
        </w:rPr>
        <w:t xml:space="preserve"> (Steele, 2008, p. 28).</w:t>
      </w:r>
    </w:p>
    <w:p w14:paraId="7E9AB90D">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ثالثاً: العنف البطيء</w:t>
      </w:r>
      <w:r>
        <w:rPr>
          <w:rFonts w:ascii="Simplified Arabic" w:hAnsi="Simplified Arabic" w:eastAsia="Times New Roman" w:cs="Simplified Arabic"/>
          <w:b/>
          <w:bCs/>
          <w:sz w:val="24"/>
          <w:szCs w:val="24"/>
        </w:rPr>
        <w:t xml:space="preserve"> (Slow Violence)</w:t>
      </w:r>
    </w:p>
    <w:p w14:paraId="696E4AAC">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هو العنف التراكمي غير المرئي الذي يعمل تدريجياً عبر الزمن، ولا يظهر دائماً في صورة تدمير مباشر أو حدث درامي؛ إذ يصفه نيكسون بأنه «عنف يحدث تدريجياً وخارج دائرة المرئي، عنف الهدر المتأخر المتشعّب عبر الزمن والمكان</w:t>
      </w:r>
      <w:r>
        <w:rPr>
          <w:rFonts w:ascii="Simplified Arabic" w:hAnsi="Simplified Arabic" w:eastAsia="Times New Roman" w:cs="Simplified Arabic"/>
          <w:sz w:val="24"/>
          <w:szCs w:val="24"/>
        </w:rPr>
        <w:t xml:space="preserve">» (Nixon, 2011, p. 2). </w:t>
      </w:r>
      <w:r>
        <w:rPr>
          <w:rFonts w:ascii="Simplified Arabic" w:hAnsi="Simplified Arabic" w:eastAsia="Times New Roman" w:cs="Simplified Arabic"/>
          <w:sz w:val="24"/>
          <w:szCs w:val="24"/>
          <w:rtl/>
        </w:rPr>
        <w:t>يُستخدم هذا المفهوم لتمييز نمطين من استهداف التعليم الفلسطيني: العنف السريع والمباشر في غزة، والعنف البطيء والتراكمي في القدس عبر سياسات المناهج والتمويل والشرعية المؤسسية</w:t>
      </w:r>
      <w:r>
        <w:rPr>
          <w:rFonts w:ascii="Simplified Arabic" w:hAnsi="Simplified Arabic" w:eastAsia="Times New Roman" w:cs="Simplified Arabic"/>
          <w:sz w:val="24"/>
          <w:szCs w:val="24"/>
        </w:rPr>
        <w:t xml:space="preserve"> (Nixon, 2011, p. 6). </w:t>
      </w:r>
      <w:r>
        <w:rPr>
          <w:rFonts w:ascii="Simplified Arabic" w:hAnsi="Simplified Arabic" w:eastAsia="Times New Roman" w:cs="Simplified Arabic"/>
          <w:sz w:val="24"/>
          <w:szCs w:val="24"/>
          <w:rtl/>
        </w:rPr>
        <w:t>ورغم اختلاف الأدوات، إلا أن النتيجة البنيوية واحدة؛ وهي تفكيك النظام التعليمي الفلسطيني وإضعاف قدرته على إعادة إنتاج الهوية والمعرفة الوطنية</w:t>
      </w:r>
      <w:r>
        <w:rPr>
          <w:rFonts w:ascii="Simplified Arabic" w:hAnsi="Simplified Arabic" w:eastAsia="Times New Roman" w:cs="Simplified Arabic"/>
          <w:sz w:val="24"/>
          <w:szCs w:val="24"/>
        </w:rPr>
        <w:t>.</w:t>
      </w:r>
    </w:p>
    <w:p w14:paraId="6DEFC936">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رابعاً: الصمود الوجودي</w:t>
      </w:r>
      <w:r>
        <w:rPr>
          <w:rFonts w:ascii="Simplified Arabic" w:hAnsi="Simplified Arabic" w:eastAsia="Times New Roman" w:cs="Simplified Arabic"/>
          <w:b/>
          <w:bCs/>
          <w:sz w:val="24"/>
          <w:szCs w:val="24"/>
        </w:rPr>
        <w:t xml:space="preserve"> (Ontological Sumud)</w:t>
      </w:r>
    </w:p>
    <w:p w14:paraId="38292D2C">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يمثل تطويراً لمفهوم الصمود التقليدي، إذ لا يُختزل في مجرد البقاء الفيزيائي أو التحمل السلبي، بل يُفهم بوصفه قدرة على إعادة إنتاج المعنى والهوية والاستمرارية تحت شروط التهديد والإبادة</w:t>
      </w:r>
      <w:r>
        <w:rPr>
          <w:rFonts w:ascii="Simplified Arabic" w:hAnsi="Simplified Arabic" w:eastAsia="Times New Roman" w:cs="Simplified Arabic"/>
          <w:sz w:val="24"/>
          <w:szCs w:val="24"/>
        </w:rPr>
        <w:t xml:space="preserve"> (Hawari, 2020, p. 3). </w:t>
      </w:r>
      <w:r>
        <w:rPr>
          <w:rFonts w:ascii="Simplified Arabic" w:hAnsi="Simplified Arabic" w:eastAsia="Times New Roman" w:cs="Simplified Arabic"/>
          <w:sz w:val="24"/>
          <w:szCs w:val="24"/>
          <w:rtl/>
        </w:rPr>
        <w:t>ويتجسد الصمود الوجودي في الاستمرار بالتعليم رغم القصف أو الإغلاق، وفي إنشاء فضاءات تعليمية بديلة، وفي تحويل التوثيق والأرشفة إلى أفعال مقاومة</w:t>
      </w:r>
      <w:r>
        <w:rPr>
          <w:rFonts w:ascii="Simplified Arabic" w:hAnsi="Simplified Arabic" w:eastAsia="Times New Roman" w:cs="Simplified Arabic"/>
          <w:sz w:val="24"/>
          <w:szCs w:val="24"/>
        </w:rPr>
        <w:t xml:space="preserve"> (UNRWA, 2024, p. 7). </w:t>
      </w:r>
      <w:r>
        <w:rPr>
          <w:rFonts w:ascii="Simplified Arabic" w:hAnsi="Simplified Arabic" w:eastAsia="Times New Roman" w:cs="Simplified Arabic"/>
          <w:sz w:val="24"/>
          <w:szCs w:val="24"/>
          <w:rtl/>
        </w:rPr>
        <w:t>فالفعل التعليمي هنا يصبح ممارسة وجودية تؤكد استمرار الجماعة في تعريف ذاتها وحفظ ذاكرتها رغم محاولات المحو</w:t>
      </w:r>
      <w:r>
        <w:rPr>
          <w:rFonts w:ascii="Simplified Arabic" w:hAnsi="Simplified Arabic" w:eastAsia="Times New Roman" w:cs="Simplified Arabic"/>
          <w:sz w:val="24"/>
          <w:szCs w:val="24"/>
        </w:rPr>
        <w:t>.</w:t>
      </w:r>
    </w:p>
    <w:p w14:paraId="4958A5C7">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خامساً: الجامعة الشاهدة</w:t>
      </w:r>
      <w:r>
        <w:rPr>
          <w:rFonts w:ascii="Simplified Arabic" w:hAnsi="Simplified Arabic" w:eastAsia="Times New Roman" w:cs="Simplified Arabic"/>
          <w:b/>
          <w:bCs/>
          <w:sz w:val="24"/>
          <w:szCs w:val="24"/>
        </w:rPr>
        <w:t xml:space="preserve"> (Witnessing University)</w:t>
      </w:r>
    </w:p>
    <w:p w14:paraId="5D41A948">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مفهوم أصيل تقدمه هذه الدراسة، ويشير إلى المؤسسة الأكاديمية التي تتحول، في ظروف الاستهداف والإبادة، من مجرد ضحية للعنف الاستعماري إلى فاعل معرفي مقاوم. وتؤدي الجامعة الشاهدة ثلاثة أدوار مترابطة: حفظ الذاكرة عبر الأرشفة المنهجية، إنتاج الشهادة من خلال البيانات والروايات والأبحاث، وممارسة المقاومة المعرفية عبر استمرار التعليم والبحث العلمي رغم شروط التدمير والإقصاء</w:t>
      </w:r>
      <w:r>
        <w:rPr>
          <w:rFonts w:ascii="Simplified Arabic" w:hAnsi="Simplified Arabic" w:eastAsia="Times New Roman" w:cs="Simplified Arabic"/>
          <w:sz w:val="24"/>
          <w:szCs w:val="24"/>
        </w:rPr>
        <w:t xml:space="preserve"> (Gready &amp; Robins, 2014, p. 344; UNESCO, 2025, p. 3). </w:t>
      </w:r>
      <w:r>
        <w:rPr>
          <w:rFonts w:ascii="Simplified Arabic" w:hAnsi="Simplified Arabic" w:eastAsia="Times New Roman" w:cs="Simplified Arabic"/>
          <w:sz w:val="24"/>
          <w:szCs w:val="24"/>
          <w:rtl/>
        </w:rPr>
        <w:t>وبهذا تصبح الجامعة فضاءً للدفاع عن الوجود الجمعي وحماية السردية الوطنية</w:t>
      </w:r>
      <w:r>
        <w:rPr>
          <w:rFonts w:ascii="Simplified Arabic" w:hAnsi="Simplified Arabic" w:eastAsia="Times New Roman" w:cs="Simplified Arabic"/>
          <w:sz w:val="24"/>
          <w:szCs w:val="24"/>
        </w:rPr>
        <w:t>.</w:t>
      </w:r>
    </w:p>
    <w:p w14:paraId="49A5DE5E">
      <w:pPr>
        <w:bidi/>
        <w:spacing w:before="100" w:beforeAutospacing="1" w:after="100" w:afterAutospacing="1" w:line="240" w:lineRule="auto"/>
        <w:outlineLvl w:val="2"/>
        <w:rPr>
          <w:rFonts w:ascii="Simplified Arabic" w:hAnsi="Simplified Arabic" w:eastAsia="Times New Roman" w:cs="Simplified Arabic"/>
          <w:b/>
          <w:bCs/>
          <w:sz w:val="24"/>
          <w:szCs w:val="24"/>
          <w:rtl/>
        </w:rPr>
      </w:pPr>
      <w:r>
        <w:rPr>
          <w:rFonts w:ascii="Simplified Arabic" w:hAnsi="Simplified Arabic" w:eastAsia="Times New Roman" w:cs="Simplified Arabic"/>
          <w:b/>
          <w:bCs/>
          <w:sz w:val="24"/>
          <w:szCs w:val="24"/>
          <w:rtl/>
        </w:rPr>
        <w:t>سادساً: السيادة المعرفية</w:t>
      </w:r>
      <w:r>
        <w:rPr>
          <w:rFonts w:ascii="Simplified Arabic" w:hAnsi="Simplified Arabic" w:eastAsia="Times New Roman" w:cs="Simplified Arabic"/>
          <w:b/>
          <w:bCs/>
          <w:sz w:val="24"/>
          <w:szCs w:val="24"/>
        </w:rPr>
        <w:t xml:space="preserve"> (Epistemic Sovereignty)</w:t>
      </w:r>
    </w:p>
    <w:p w14:paraId="3A529D6B">
      <w:pPr>
        <w:bidi/>
        <w:spacing w:before="100" w:beforeAutospacing="1" w:after="100" w:afterAutospacing="1" w:line="240" w:lineRule="auto"/>
        <w:outlineLvl w:val="2"/>
        <w:rPr>
          <w:rFont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تشير إلى قدرة الجماعة الأصلية على إنتاج معرفتها الخاصة والتحكم في سردياتها بعيداً عن الهيمنة الخارجية، كما تؤكد ليندا توهيوَاي سميث في حديثها عن «استعادة حق الشعوب الأصلية في إنتاج المعرفة عن ذاتها» (</w:t>
      </w:r>
      <w:r>
        <w:rPr>
          <w:rFonts w:ascii="Simplified Arabic" w:hAnsi="Simplified Arabic" w:eastAsia="Times New Roman" w:cs="Simplified Arabic"/>
          <w:sz w:val="24"/>
          <w:szCs w:val="24"/>
        </w:rPr>
        <w:t>Smith, 2012, p. 29</w:t>
      </w:r>
      <w:r>
        <w:rPr>
          <w:rFonts w:ascii="Simplified Arabic" w:hAnsi="Simplified Arabic" w:eastAsia="Times New Roman" w:cs="Simplified Arabic"/>
          <w:sz w:val="24"/>
          <w:szCs w:val="24"/>
          <w:rtl/>
        </w:rPr>
        <w:t>). في الحالة الفلسطينية، تعني حماية المناهج الوطنية، بناء الأرشيف والذاكرة الجمعية، والحفاظ على الحق في تمثيل الذات والتاريخ في مواجهة الاستعمار المعرفي والظلم الإبستمولوجي الذي يهمّش الشهادة الفلسطينية أو يشكّك في صدقيتها (</w:t>
      </w:r>
      <w:r>
        <w:rPr>
          <w:rFonts w:ascii="Simplified Arabic" w:hAnsi="Simplified Arabic" w:eastAsia="Times New Roman" w:cs="Simplified Arabic"/>
          <w:sz w:val="24"/>
          <w:szCs w:val="24"/>
        </w:rPr>
        <w:t>Mignolo, 2009, p. 162; Fricker, 2007, p. 1</w:t>
      </w:r>
      <w:r>
        <w:rPr>
          <w:rFonts w:ascii="Simplified Arabic" w:hAnsi="Simplified Arabic" w:eastAsia="Times New Roman" w:cs="Simplified Arabic"/>
          <w:sz w:val="24"/>
          <w:szCs w:val="24"/>
          <w:rtl/>
        </w:rPr>
        <w:t>). ويُستخدم هذا المفهوم لتأصيل أن الدفاع عن التعليم الفلسطيني ليس دفاعاً عن مؤسسة خدمية فحسب، بل عن الحق في امتلاك المعرفة والذاكرة والرواية التاريخية في مواجهة مشروع استعماري يعمل على محوها.سابعاً: الإطار المفاهيمي التكاملي للدراسة</w:t>
      </w:r>
    </w:p>
    <w:p w14:paraId="275A74B9">
      <w:pPr>
        <w:bidi/>
        <w:spacing w:before="100" w:beforeAutospacing="1" w:after="100" w:afterAutospacing="1" w:line="240" w:lineRule="auto"/>
        <w:outlineLvl w:val="2"/>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Pr>
        <w:drawing>
          <wp:inline distT="0" distB="0" distL="0" distR="0">
            <wp:extent cx="5814060" cy="432816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pic:cNvPicPr>
                  </pic:nvPicPr>
                  <pic:blipFill>
                    <a:blip r:embed="rId6">
                      <a:extLst>
                        <a:ext uri="{28A0092B-C50C-407E-A947-70E740481C1C}">
                          <a14:useLocalDpi xmlns:a14="http://schemas.microsoft.com/office/drawing/2010/main" val="0"/>
                        </a:ext>
                      </a:extLst>
                    </a:blip>
                    <a:srcRect l="780" t="1" r="1" b="6580"/>
                    <a:stretch>
                      <a:fillRect/>
                    </a:stretch>
                  </pic:blipFill>
                  <pic:spPr>
                    <a:xfrm>
                      <a:off x="0" y="0"/>
                      <a:ext cx="5814060" cy="4328160"/>
                    </a:xfrm>
                    <a:prstGeom prst="rect">
                      <a:avLst/>
                    </a:prstGeom>
                    <a:ln>
                      <a:noFill/>
                    </a:ln>
                  </pic:spPr>
                </pic:pic>
              </a:graphicData>
            </a:graphic>
          </wp:inline>
        </w:drawing>
      </w:r>
      <w:r>
        <w:rPr>
          <w:rFonts w:ascii="Simplified Arabic" w:hAnsi="Simplified Arabic" w:eastAsia="Times New Roman" w:cs="Simplified Arabic"/>
          <w:b/>
          <w:bCs/>
          <w:sz w:val="24"/>
          <w:szCs w:val="24"/>
        </w:rPr>
        <w:drawing>
          <wp:inline distT="0" distB="0" distL="0" distR="0">
            <wp:extent cx="4442460" cy="3345180"/>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pic:cNvPicPr>
                  </pic:nvPicPr>
                  <pic:blipFill>
                    <a:blip r:embed="rId7">
                      <a:extLst>
                        <a:ext uri="{28A0092B-C50C-407E-A947-70E740481C1C}">
                          <a14:useLocalDpi xmlns:a14="http://schemas.microsoft.com/office/drawing/2010/main" val="0"/>
                        </a:ext>
                      </a:extLst>
                    </a:blip>
                    <a:srcRect l="1353" b="9671"/>
                    <a:stretch>
                      <a:fillRect/>
                    </a:stretch>
                  </pic:blipFill>
                  <pic:spPr>
                    <a:xfrm>
                      <a:off x="0" y="0"/>
                      <a:ext cx="4442460" cy="3345180"/>
                    </a:xfrm>
                    <a:prstGeom prst="rect">
                      <a:avLst/>
                    </a:prstGeom>
                    <a:ln>
                      <a:noFill/>
                    </a:ln>
                  </pic:spPr>
                </pic:pic>
              </a:graphicData>
            </a:graphic>
          </wp:inline>
        </w:drawing>
      </w:r>
    </w:p>
    <w:p w14:paraId="39DBB299">
      <w:pPr>
        <w:bidi/>
        <w:spacing w:line="240" w:lineRule="auto"/>
        <w:rPr>
          <w:rFonts w:ascii="Simplified Arabic" w:hAnsi="Simplified Arabic" w:cs="Simplified Arabic"/>
          <w:b/>
          <w:bCs/>
          <w:sz w:val="24"/>
          <w:szCs w:val="24"/>
          <w:rtl/>
          <w:lang w:bidi="ar-JO"/>
        </w:rPr>
      </w:pPr>
      <w:r>
        <w:rPr>
          <w:rFonts w:hint="cs" w:ascii="Simplified Arabic" w:hAnsi="Simplified Arabic" w:cs="Simplified Arabic"/>
          <w:b/>
          <w:bCs/>
          <w:sz w:val="24"/>
          <w:szCs w:val="24"/>
          <w:rtl/>
        </w:rPr>
        <w:t xml:space="preserve">ثامناً : </w:t>
      </w:r>
      <w:r>
        <w:rPr>
          <w:rFonts w:ascii="Simplified Arabic" w:hAnsi="Simplified Arabic" w:cs="Simplified Arabic"/>
          <w:b/>
          <w:bCs/>
          <w:sz w:val="24"/>
          <w:szCs w:val="24"/>
          <w:rtl/>
        </w:rPr>
        <w:t>الدراسات السابقة</w:t>
      </w:r>
    </w:p>
    <w:p w14:paraId="52E6CB68">
      <w:pPr>
        <w:bidi/>
        <w:spacing w:line="240" w:lineRule="auto"/>
        <w:rPr>
          <w:rFonts w:ascii="Simplified Arabic" w:hAnsi="Simplified Arabic" w:cs="Simplified Arabic"/>
          <w:sz w:val="24"/>
          <w:szCs w:val="24"/>
          <w:rtl/>
          <w:lang w:bidi="ar-JO"/>
        </w:rPr>
      </w:pPr>
      <w:r>
        <w:rPr>
          <w:rFonts w:ascii="Simplified Arabic" w:hAnsi="Simplified Arabic" w:cs="Simplified Arabic"/>
          <w:sz w:val="24"/>
          <w:szCs w:val="24"/>
          <w:rtl/>
        </w:rPr>
        <w:t>استعرضت الأدبيات السابقة موضوع التعليم الفلسطيني تحت الاحتلال والاستعمار الاستيطاني من زوايا متعددة، وتنوعت بين دراسات عربية وأجنبية، وبين مقاربات حقوقية وسياسية ونظرية. غير أن هذه الأدبيات، رغم غناها، بقيت في معظمها مجزأة ولم تقدم إطاراً تحليلياً يربط بين إبادة التعليم والأمن الوجودي والصمود الأنطولوجي والجامعة الشاهدة. وفيما يلي استعراض نقدي لأبرز هذه الدراسات، مع التركيز على الفجوة التي يسدها هذا البحث</w:t>
      </w:r>
      <w:r>
        <w:rPr>
          <w:rFonts w:ascii="Simplified Arabic" w:hAnsi="Simplified Arabic" w:cs="Simplified Arabic"/>
          <w:sz w:val="24"/>
          <w:szCs w:val="24"/>
        </w:rPr>
        <w:t>.</w:t>
      </w:r>
    </w:p>
    <w:p w14:paraId="7C5D64DA">
      <w:pPr>
        <w:pStyle w:val="4"/>
        <w:bidi/>
        <w:rPr>
          <w:rFonts w:ascii="Simplified Arabic" w:hAnsi="Simplified Arabic" w:cs="Simplified Arabic"/>
          <w:sz w:val="24"/>
          <w:szCs w:val="24"/>
        </w:rPr>
      </w:pPr>
      <w:r>
        <w:rPr>
          <w:rFonts w:ascii="Simplified Arabic" w:hAnsi="Simplified Arabic" w:cs="Simplified Arabic"/>
          <w:sz w:val="24"/>
          <w:szCs w:val="24"/>
          <w:rtl/>
        </w:rPr>
        <w:t>أولاً: الدراسات العربية</w:t>
      </w:r>
    </w:p>
    <w:p w14:paraId="28450461">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 xml:space="preserve">في السنوات الأخيرة، ظهرت مجموعة من الدراسات العربية المهمة التي تناولت استهداف التعليم الفلسطيني. فقد قدّم بهاء درويش الغرباوي (2025)، في دراسة نشرتها </w:t>
      </w:r>
      <w:r>
        <w:rPr>
          <w:rStyle w:val="16"/>
          <w:rFonts w:ascii="Simplified Arabic" w:hAnsi="Simplified Arabic" w:cs="Simplified Arabic"/>
          <w:color w:val="auto"/>
          <w:sz w:val="24"/>
          <w:szCs w:val="24"/>
        </w:rPr>
        <w:t>Journal of Educational and Psychological Sciences</w:t>
      </w:r>
      <w:r>
        <w:rPr>
          <w:rFonts w:ascii="Simplified Arabic" w:hAnsi="Simplified Arabic" w:cs="Simplified Arabic"/>
          <w:sz w:val="24"/>
          <w:szCs w:val="24"/>
          <w:rtl/>
        </w:rPr>
        <w:t>، نموذجاً مقترحاً للحد من آثار الإبادة التعليمية على التعليم المدرسي في قطاع غزة خلال حرب 2023، واعتمد على استبانة طبقت على 379 معلماً ومعلمة، وأظهرت النتائج أن مستوى تقدير العينة لآثار الإبادة التعليمية بلغ متوسطاً حسابياً 4.556 من 5 (بدرجة مرتفعة جداً). وقد خرجت الدراسة بنموذج مقترح يتضمن توصيات لتبني خطة شاملة لإنقاذ التعليم، واعتماد التعليم المدمج، وتنفيذ برامج دعم نفسي واجتماعي (الغرباوي، 2025)</w:t>
      </w:r>
    </w:p>
    <w:p w14:paraId="627F98A5">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في السياق نفسه، قدّمت مها أبو الهيجا (2025)، في مجلة جامعة الاستقلال للأبحاث، تحليلاً لتحديات التعليم العالي في قطاع غزة خلال الحرب وما بعدها، ورصدت الدمار الواسع الذي طال البنية التحتية للتعليم العالي، وقدّرت الخسائر المادية التي تكبدتها الجامعات بأكثر من 200 مليون دولار، مستندة إلى تقارير وزارة التربية والتعليم العالي الفلسطينية وإحصاءات المركز الأوروبي-المتوسطي لحقوق الإنسان (أبو الهيجا، 2025). وقدّم مركز الميزان لحقوق الإنسان (2024) تقريراً مفصلاً حول إبادة التعليم في غزة في سياق الإبادة الجماعية، وثّق فيه الدمار الممنهج للجامعات والمدارس ورياض الأطفال واستهداف الطلبة والمعلمين</w:t>
      </w:r>
      <w:r>
        <w:rPr>
          <w:rFonts w:ascii="Simplified Arabic" w:hAnsi="Simplified Arabic" w:cs="Simplified Arabic"/>
          <w:sz w:val="24"/>
          <w:szCs w:val="24"/>
        </w:rPr>
        <w:t>.</w:t>
      </w:r>
    </w:p>
    <w:p w14:paraId="5CDD3D33">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 xml:space="preserve">أما فيما يتعلق بالقدس، فقد تناول أنور حمدالله قدح (2024)، في دراسة صادرة عن مركز الزيتونة للدراسات، أسرلة المناهج في القدس بوصفها </w:t>
      </w:r>
      <w:r>
        <w:rPr>
          <w:rFonts w:ascii="Simplified Arabic" w:hAnsi="Simplified Arabic" w:cs="Simplified Arabic"/>
          <w:sz w:val="24"/>
          <w:szCs w:val="24"/>
        </w:rPr>
        <w:t>"</w:t>
      </w:r>
      <w:r>
        <w:rPr>
          <w:rFonts w:ascii="Simplified Arabic" w:hAnsi="Simplified Arabic" w:cs="Simplified Arabic"/>
          <w:sz w:val="24"/>
          <w:szCs w:val="24"/>
          <w:rtl/>
        </w:rPr>
        <w:t>تحدياً وجودياً</w:t>
      </w:r>
      <w:r>
        <w:rPr>
          <w:rFonts w:ascii="Simplified Arabic" w:hAnsi="Simplified Arabic" w:cs="Simplified Arabic"/>
          <w:sz w:val="24"/>
          <w:szCs w:val="24"/>
        </w:rPr>
        <w:t>"</w:t>
      </w:r>
      <w:r>
        <w:rPr>
          <w:rFonts w:ascii="Simplified Arabic" w:hAnsi="Simplified Arabic" w:cs="Simplified Arabic"/>
          <w:sz w:val="24"/>
          <w:szCs w:val="24"/>
          <w:rtl/>
        </w:rPr>
        <w:t xml:space="preserve">، وأوضح كيف تتحول سياسات الاحتلال من أسرلة التعليم إلى إبادة التعليم، في ضوء خطة </w:t>
      </w:r>
      <w:r>
        <w:rPr>
          <w:rFonts w:ascii="Simplified Arabic" w:hAnsi="Simplified Arabic" w:cs="Simplified Arabic"/>
          <w:sz w:val="24"/>
          <w:szCs w:val="24"/>
        </w:rPr>
        <w:t>"</w:t>
      </w:r>
      <w:r>
        <w:rPr>
          <w:rFonts w:ascii="Simplified Arabic" w:hAnsi="Simplified Arabic" w:cs="Simplified Arabic"/>
          <w:sz w:val="24"/>
          <w:szCs w:val="24"/>
          <w:rtl/>
        </w:rPr>
        <w:t>الحسم</w:t>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التي أُطلقت عام 2017 بهدف محو كل مظهر من مظاهر التعليم الفلسطيني في القدس. وخصصت مجلة </w:t>
      </w:r>
      <w:r>
        <w:rPr>
          <w:rStyle w:val="16"/>
          <w:rFonts w:ascii="Simplified Arabic" w:hAnsi="Simplified Arabic" w:cs="Simplified Arabic"/>
          <w:color w:val="auto"/>
          <w:sz w:val="24"/>
          <w:szCs w:val="24"/>
          <w:rtl/>
        </w:rPr>
        <w:t>المقدسية</w:t>
      </w:r>
      <w:r>
        <w:rPr>
          <w:rFonts w:ascii="Simplified Arabic" w:hAnsi="Simplified Arabic" w:cs="Simplified Arabic"/>
          <w:sz w:val="24"/>
          <w:szCs w:val="24"/>
          <w:rtl/>
        </w:rPr>
        <w:t xml:space="preserve"> الصادرة عن مركز دراسات القدس في جامعة القدس عددها الربيعي لعام 2026 متناولة موضوع </w:t>
      </w:r>
      <w:r>
        <w:rPr>
          <w:rFonts w:ascii="Simplified Arabic" w:hAnsi="Simplified Arabic" w:cs="Simplified Arabic"/>
          <w:sz w:val="24"/>
          <w:szCs w:val="24"/>
        </w:rPr>
        <w:t>"</w:t>
      </w:r>
      <w:r>
        <w:rPr>
          <w:rFonts w:ascii="Simplified Arabic" w:hAnsi="Simplified Arabic" w:cs="Simplified Arabic"/>
          <w:sz w:val="24"/>
          <w:szCs w:val="24"/>
          <w:rtl/>
        </w:rPr>
        <w:t>المناعة في مواجهة إبادة التعليم</w:t>
      </w:r>
      <w:r>
        <w:rPr>
          <w:rFonts w:ascii="Simplified Arabic" w:hAnsi="Simplified Arabic" w:cs="Simplified Arabic"/>
          <w:sz w:val="24"/>
          <w:szCs w:val="24"/>
        </w:rPr>
        <w:t xml:space="preserve">" </w:t>
      </w:r>
      <w:r>
        <w:rPr>
          <w:rFonts w:ascii="Simplified Arabic" w:hAnsi="Simplified Arabic" w:cs="Simplified Arabic"/>
          <w:sz w:val="24"/>
          <w:szCs w:val="24"/>
          <w:rtl/>
        </w:rPr>
        <w:t>من خلال ست دراسات غير مسبوقة عن فاعلي التربية في القدس (مركز دراسات القدس، 2026). كما حلّلت زبيدة صالح صبحي (2024)، في مؤتمر الجمعية الأردنية للعلوم التربوية، السياسات التعليمية الإسرائيلية في المدارس العربية في القدس وأثرها على الهوية الوطنية الفلسطينية، وكشفت أن هذه السياسات تهدف إلى تهميش التعليم الفلسطيني بشكل ممنهج منذ احتلال المدينة، وأنها عملية بطيئة لكنها تتعمق وتتصاعد مع الزمن (صبحي، 2024</w:t>
      </w:r>
      <w:r>
        <w:rPr>
          <w:rFonts w:ascii="Simplified Arabic" w:hAnsi="Simplified Arabic" w:cs="Simplified Arabic"/>
          <w:sz w:val="24"/>
          <w:szCs w:val="24"/>
        </w:rPr>
        <w:t>.</w:t>
      </w:r>
    </w:p>
    <w:p w14:paraId="44017AB9">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وفي مسار نظري أوسع، قدّم محمد أحمد صيام (2025)، في كتاب صادر عن المركز العربي للأبحاث ودراسة السياسات، رؤية متكاملة حول تعليم الفلسطينيين بين الاحتلال والمقاومة، محللاً كيف يستهدف الاحتلال التعليم باعتباره أداة محورية لاقتلاع الشعب من جذوره، وكيف يتحول التعليم إلى ساحة صراع استراتيجي في معركة الوعي الوطني (صيام، 2025). كما تناولت لمى أبو عوّاد (2013, 2022) تعقيدات التعليم في السياق الفلسطيني المستعمَر، ودرست الليبرالية الجديدة كسياق هيكلي ضاغط على التعليم، وأفادت أن الأنظمة التعليمية الفلسطينية تتعرض لضغوط هيكلية مزدوجة: من جهة الاحتلال، ومن جهة متطلبات الأسواق النيوليبرالية التي تعيد تعريف التعليم كخدمة بدلاً من اعتباره حقاً وبنية وجودية (أبو عوّاد،2013</w:t>
      </w:r>
      <w:r>
        <w:rPr>
          <w:rFonts w:ascii="Simplified Arabic" w:hAnsi="Simplified Arabic" w:cs="Simplified Arabic"/>
          <w:sz w:val="24"/>
          <w:szCs w:val="24"/>
        </w:rPr>
        <w:t>.(</w:t>
      </w:r>
    </w:p>
    <w:p w14:paraId="70B4D4FF">
      <w:pPr>
        <w:bidi/>
        <w:spacing w:line="240" w:lineRule="auto"/>
        <w:rPr>
          <w:rFonts w:ascii="Simplified Arabic" w:hAnsi="Simplified Arabic" w:cs="Simplified Arabic"/>
          <w:sz w:val="24"/>
          <w:szCs w:val="24"/>
          <w:rtl/>
          <w:lang w:bidi="ar-JO"/>
        </w:rPr>
      </w:pPr>
      <w:r>
        <w:rPr>
          <w:rFonts w:ascii="Simplified Arabic" w:hAnsi="Simplified Arabic" w:cs="Simplified Arabic"/>
          <w:sz w:val="24"/>
          <w:szCs w:val="24"/>
          <w:rtl/>
        </w:rPr>
        <w:t xml:space="preserve">أما دراسات نادر أبو شرخ (2024) حول </w:t>
      </w:r>
      <w:r>
        <w:rPr>
          <w:rFonts w:ascii="Simplified Arabic" w:hAnsi="Simplified Arabic" w:cs="Simplified Arabic"/>
          <w:sz w:val="24"/>
          <w:szCs w:val="24"/>
        </w:rPr>
        <w:t>"</w:t>
      </w:r>
      <w:r>
        <w:rPr>
          <w:rFonts w:ascii="Simplified Arabic" w:hAnsi="Simplified Arabic" w:cs="Simplified Arabic"/>
          <w:sz w:val="24"/>
          <w:szCs w:val="24"/>
          <w:rtl/>
        </w:rPr>
        <w:t>التأثيرات الهيكلية والمعرفية للحرب الإسرائيلية على التعليم الجامعي في غزة</w:t>
      </w:r>
      <w:r>
        <w:rPr>
          <w:rFonts w:ascii="Simplified Arabic" w:hAnsi="Simplified Arabic" w:cs="Simplified Arabic"/>
          <w:sz w:val="24"/>
          <w:szCs w:val="24"/>
        </w:rPr>
        <w:t>"</w:t>
      </w:r>
      <w:r>
        <w:rPr>
          <w:rFonts w:ascii="Simplified Arabic" w:hAnsi="Simplified Arabic" w:cs="Simplified Arabic"/>
          <w:sz w:val="24"/>
          <w:szCs w:val="24"/>
          <w:rtl/>
        </w:rPr>
        <w:t xml:space="preserve">، وصبحي ربيع شعيب (2025) حول </w:t>
      </w:r>
      <w:r>
        <w:rPr>
          <w:rFonts w:ascii="Simplified Arabic" w:hAnsi="Simplified Arabic" w:cs="Simplified Arabic"/>
          <w:sz w:val="24"/>
          <w:szCs w:val="24"/>
        </w:rPr>
        <w:t>"</w:t>
      </w:r>
      <w:r>
        <w:rPr>
          <w:rFonts w:ascii="Simplified Arabic" w:hAnsi="Simplified Arabic" w:cs="Simplified Arabic"/>
          <w:sz w:val="24"/>
          <w:szCs w:val="24"/>
          <w:rtl/>
        </w:rPr>
        <w:t>تحديات التعليم الإلكتروني خلال العدوان الإسرائيلي على غزة</w:t>
      </w:r>
      <w:r>
        <w:rPr>
          <w:rFonts w:ascii="Simplified Arabic" w:hAnsi="Simplified Arabic" w:cs="Simplified Arabic"/>
          <w:sz w:val="24"/>
          <w:szCs w:val="24"/>
        </w:rPr>
        <w:t>"</w:t>
      </w:r>
      <w:r>
        <w:rPr>
          <w:rFonts w:ascii="Simplified Arabic" w:hAnsi="Simplified Arabic" w:cs="Simplified Arabic"/>
          <w:sz w:val="24"/>
          <w:szCs w:val="24"/>
          <w:rtl/>
        </w:rPr>
        <w:t>، وصدام يوسف (2025) حول استهداف المؤسسات التعليمية الفلسطينية بين عامي 1967 و2023، فقد كشفت أشكال المقاومة التعليمية التي تجلت في التعليم عن بعد والتعليم تحت القصف، وأكدت أن استهداف التعليم كان منهجياً ومتصلاً عبر العقود، وأنه جزء من استراتيجية احتلالية طويلة الأمد تهدف إلى تفكيك الهوية الفلسطينية (أبو شرخ، 2024؛ شعيب، 2025؛ يوسف، 2025</w:t>
      </w:r>
      <w:r>
        <w:rPr>
          <w:rFonts w:ascii="Simplified Arabic" w:hAnsi="Simplified Arabic" w:cs="Simplified Arabic"/>
          <w:sz w:val="24"/>
          <w:szCs w:val="24"/>
        </w:rPr>
        <w:t>.(</w:t>
      </w:r>
    </w:p>
    <w:p w14:paraId="03ED783D">
      <w:pPr>
        <w:pStyle w:val="4"/>
        <w:bidi/>
        <w:rPr>
          <w:rFonts w:ascii="Simplified Arabic" w:hAnsi="Simplified Arabic" w:cs="Simplified Arabic"/>
          <w:sz w:val="24"/>
          <w:szCs w:val="24"/>
        </w:rPr>
      </w:pPr>
      <w:r>
        <w:rPr>
          <w:rFonts w:ascii="Simplified Arabic" w:hAnsi="Simplified Arabic" w:cs="Simplified Arabic"/>
          <w:sz w:val="24"/>
          <w:szCs w:val="24"/>
          <w:rtl/>
        </w:rPr>
        <w:t>ثانياً: الدراسات الأجنبية</w:t>
      </w:r>
    </w:p>
    <w:p w14:paraId="62C72789">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في الأدبيات الأجنبية، تُعد يارا حواري</w:t>
      </w:r>
      <w:r>
        <w:rPr>
          <w:rFonts w:ascii="Simplified Arabic" w:hAnsi="Simplified Arabic" w:cs="Simplified Arabic"/>
          <w:sz w:val="24"/>
          <w:szCs w:val="24"/>
        </w:rPr>
        <w:t xml:space="preserve"> (Hawari, 2020)</w:t>
      </w:r>
      <w:r>
        <w:rPr>
          <w:rFonts w:ascii="Simplified Arabic" w:hAnsi="Simplified Arabic" w:cs="Simplified Arabic"/>
          <w:sz w:val="24"/>
          <w:szCs w:val="24"/>
          <w:rtl/>
        </w:rPr>
        <w:t xml:space="preserve">، في دراستها المنشورة بمجلة </w:t>
      </w:r>
      <w:r>
        <w:rPr>
          <w:rStyle w:val="16"/>
          <w:rFonts w:ascii="Simplified Arabic" w:hAnsi="Simplified Arabic" w:cs="Simplified Arabic"/>
          <w:color w:val="auto"/>
          <w:sz w:val="24"/>
          <w:szCs w:val="24"/>
        </w:rPr>
        <w:t>Interventions</w:t>
      </w:r>
      <w:r>
        <w:rPr>
          <w:rFonts w:ascii="Simplified Arabic" w:hAnsi="Simplified Arabic" w:cs="Simplified Arabic"/>
          <w:sz w:val="24"/>
          <w:szCs w:val="24"/>
          <w:rtl/>
        </w:rPr>
        <w:t>، من أهم المراجع التي تنظّر لمفهوم الصمود</w:t>
      </w:r>
      <w:r>
        <w:rPr>
          <w:rFonts w:ascii="Simplified Arabic" w:hAnsi="Simplified Arabic" w:cs="Simplified Arabic"/>
          <w:sz w:val="24"/>
          <w:szCs w:val="24"/>
        </w:rPr>
        <w:t xml:space="preserve"> (Sumud) </w:t>
      </w:r>
      <w:r>
        <w:rPr>
          <w:rFonts w:ascii="Simplified Arabic" w:hAnsi="Simplified Arabic" w:cs="Simplified Arabic"/>
          <w:sz w:val="24"/>
          <w:szCs w:val="24"/>
          <w:rtl/>
        </w:rPr>
        <w:t xml:space="preserve">بوصفه إطاراً مضاداً للاستعمار، مؤكدة أن الصمود ليس مجرد بقاء على الأرض، بل ممارسة فاعلة لإعادة إنتاج الوجود الفلسطيني. ورغم أهميتها، لم تربط حواري الصمود مباشرة بالمؤسسة الجامعية، وهو ما تسعى هذه الورقة إلى تطويره عبر مفهوم </w:t>
      </w:r>
      <w:r>
        <w:rPr>
          <w:rFonts w:ascii="Simplified Arabic" w:hAnsi="Simplified Arabic" w:cs="Simplified Arabic"/>
          <w:sz w:val="24"/>
          <w:szCs w:val="24"/>
        </w:rPr>
        <w:t>"</w:t>
      </w:r>
      <w:r>
        <w:rPr>
          <w:rFonts w:ascii="Simplified Arabic" w:hAnsi="Simplified Arabic" w:cs="Simplified Arabic"/>
          <w:sz w:val="24"/>
          <w:szCs w:val="24"/>
          <w:rtl/>
        </w:rPr>
        <w:t>الصمود الأنطولوجي</w:t>
      </w:r>
      <w:r>
        <w:rPr>
          <w:rFonts w:ascii="Simplified Arabic" w:hAnsi="Simplified Arabic" w:cs="Simplified Arabic"/>
          <w:sz w:val="24"/>
          <w:szCs w:val="24"/>
        </w:rPr>
        <w:t>".</w:t>
      </w:r>
    </w:p>
    <w:p w14:paraId="1EC27C8C">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أما في حقل الأمن الوجودي، فقد قدّمت جنيفر ميتزن</w:t>
      </w:r>
      <w:r>
        <w:rPr>
          <w:rFonts w:ascii="Simplified Arabic" w:hAnsi="Simplified Arabic" w:cs="Simplified Arabic"/>
          <w:sz w:val="24"/>
          <w:szCs w:val="24"/>
        </w:rPr>
        <w:t xml:space="preserve"> (Mitzen, 2006)</w:t>
      </w:r>
      <w:r>
        <w:rPr>
          <w:rFonts w:ascii="Simplified Arabic" w:hAnsi="Simplified Arabic" w:cs="Simplified Arabic"/>
          <w:sz w:val="24"/>
          <w:szCs w:val="24"/>
          <w:rtl/>
        </w:rPr>
        <w:t xml:space="preserve">، في مجلة </w:t>
      </w:r>
      <w:r>
        <w:rPr>
          <w:rStyle w:val="16"/>
          <w:rFonts w:ascii="Simplified Arabic" w:hAnsi="Simplified Arabic" w:cs="Simplified Arabic"/>
          <w:color w:val="auto"/>
          <w:sz w:val="24"/>
          <w:szCs w:val="24"/>
        </w:rPr>
        <w:t>European Journal of International Relations</w:t>
      </w:r>
      <w:r>
        <w:rPr>
          <w:rFonts w:ascii="Simplified Arabic" w:hAnsi="Simplified Arabic" w:cs="Simplified Arabic"/>
          <w:sz w:val="24"/>
          <w:szCs w:val="24"/>
          <w:rtl/>
        </w:rPr>
        <w:t>، تطويراً لنظرية أنتوني غيدنز</w:t>
      </w:r>
      <w:r>
        <w:rPr>
          <w:rFonts w:ascii="Simplified Arabic" w:hAnsi="Simplified Arabic" w:cs="Simplified Arabic"/>
          <w:sz w:val="24"/>
          <w:szCs w:val="24"/>
        </w:rPr>
        <w:t xml:space="preserve"> (Giddens, 1991) </w:t>
      </w:r>
      <w:r>
        <w:rPr>
          <w:rFonts w:ascii="Simplified Arabic" w:hAnsi="Simplified Arabic" w:cs="Simplified Arabic"/>
          <w:sz w:val="24"/>
          <w:szCs w:val="24"/>
          <w:rtl/>
        </w:rPr>
        <w:t>لتشمل الجماعات السياسية، موضحة أن الفاعلين قد يتمسكون بسردياتهم حتى حين تبدو غير عقلانية من منظور الأمن المادي، لأنهم يدافعون عن استمرارية ذاتهم ومعناها. وقد توسع برنت ستيل</w:t>
      </w:r>
      <w:r>
        <w:rPr>
          <w:rFonts w:ascii="Simplified Arabic" w:hAnsi="Simplified Arabic" w:cs="Simplified Arabic"/>
          <w:sz w:val="24"/>
          <w:szCs w:val="24"/>
        </w:rPr>
        <w:t xml:space="preserve"> (Steele, 2008) </w:t>
      </w:r>
      <w:r>
        <w:rPr>
          <w:rFonts w:ascii="Simplified Arabic" w:hAnsi="Simplified Arabic" w:cs="Simplified Arabic"/>
          <w:sz w:val="24"/>
          <w:szCs w:val="24"/>
          <w:rtl/>
        </w:rPr>
        <w:t>هذا المفهوم ليشمل البعد الأخلاقي والكرامة. غير أن هذه الأدبيات لم تُطبّق على التعليم الفلسطيني تحتس الإبادة، وهو ما تقدمه هذه الورقة عبر تحليل شهادات المعلمين والطلبة في غزة والقدس</w:t>
      </w:r>
      <w:r>
        <w:rPr>
          <w:rFonts w:ascii="Simplified Arabic" w:hAnsi="Simplified Arabic" w:cs="Simplified Arabic"/>
          <w:sz w:val="24"/>
          <w:szCs w:val="24"/>
        </w:rPr>
        <w:t>.</w:t>
      </w:r>
    </w:p>
    <w:p w14:paraId="2CDB0E4F">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وفيما يتعلق بالسيادة المعرفية، يُعد كتاب ليندا توهيواي سميث</w:t>
      </w:r>
      <w:r>
        <w:rPr>
          <w:rFonts w:ascii="Simplified Arabic" w:hAnsi="Simplified Arabic" w:cs="Simplified Arabic"/>
          <w:sz w:val="24"/>
          <w:szCs w:val="24"/>
        </w:rPr>
        <w:t xml:space="preserve"> (Smith, 2012) </w:t>
      </w:r>
      <w:r>
        <w:rPr>
          <w:rStyle w:val="16"/>
          <w:rFonts w:ascii="Simplified Arabic" w:hAnsi="Simplified Arabic" w:cs="Simplified Arabic"/>
          <w:color w:val="auto"/>
          <w:sz w:val="24"/>
          <w:szCs w:val="24"/>
        </w:rPr>
        <w:t>Decolonizing Methodologies</w:t>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من النصوص التأسيسية، حيث تؤكد أن استعادة الشعوب الأصلية لحقها في إنتاج المعرفة عن ذاتها هو شرط للتحرر. ويتقاطع مع هذا مفهوم </w:t>
      </w:r>
      <w:r>
        <w:rPr>
          <w:rFonts w:ascii="Simplified Arabic" w:hAnsi="Simplified Arabic" w:cs="Simplified Arabic"/>
          <w:sz w:val="24"/>
          <w:szCs w:val="24"/>
        </w:rPr>
        <w:t>"</w:t>
      </w:r>
      <w:r>
        <w:rPr>
          <w:rFonts w:ascii="Simplified Arabic" w:hAnsi="Simplified Arabic" w:cs="Simplified Arabic"/>
          <w:sz w:val="24"/>
          <w:szCs w:val="24"/>
          <w:rtl/>
        </w:rPr>
        <w:t>الاستعمار المعرفي</w:t>
      </w:r>
      <w:r>
        <w:rPr>
          <w:rFonts w:ascii="Simplified Arabic" w:hAnsi="Simplified Arabic" w:cs="Simplified Arabic"/>
          <w:sz w:val="24"/>
          <w:szCs w:val="24"/>
        </w:rPr>
        <w:t xml:space="preserve">" </w:t>
      </w:r>
      <w:r>
        <w:rPr>
          <w:rFonts w:ascii="Simplified Arabic" w:hAnsi="Simplified Arabic" w:cs="Simplified Arabic"/>
          <w:sz w:val="24"/>
          <w:szCs w:val="24"/>
          <w:rtl/>
        </w:rPr>
        <w:t>عند والتر مينيولو</w:t>
      </w:r>
      <w:r>
        <w:rPr>
          <w:rFonts w:ascii="Simplified Arabic" w:hAnsi="Simplified Arabic" w:cs="Simplified Arabic"/>
          <w:sz w:val="24"/>
          <w:szCs w:val="24"/>
        </w:rPr>
        <w:t xml:space="preserve"> (Mignolo, 2009, 2011) </w:t>
      </w:r>
      <w:r>
        <w:rPr>
          <w:rFonts w:ascii="Simplified Arabic" w:hAnsi="Simplified Arabic" w:cs="Simplified Arabic"/>
          <w:sz w:val="24"/>
          <w:szCs w:val="24"/>
          <w:rtl/>
        </w:rPr>
        <w:t>و</w:t>
      </w:r>
      <w:r>
        <w:rPr>
          <w:rFonts w:ascii="Simplified Arabic" w:hAnsi="Simplified Arabic" w:cs="Simplified Arabic"/>
          <w:sz w:val="24"/>
          <w:szCs w:val="24"/>
        </w:rPr>
        <w:t>"</w:t>
      </w:r>
      <w:r>
        <w:rPr>
          <w:rFonts w:ascii="Simplified Arabic" w:hAnsi="Simplified Arabic" w:cs="Simplified Arabic"/>
          <w:sz w:val="24"/>
          <w:szCs w:val="24"/>
          <w:rtl/>
        </w:rPr>
        <w:t>الظلم الإبستمولوجي</w:t>
      </w:r>
      <w:r>
        <w:rPr>
          <w:rFonts w:ascii="Simplified Arabic" w:hAnsi="Simplified Arabic" w:cs="Simplified Arabic"/>
          <w:sz w:val="24"/>
          <w:szCs w:val="24"/>
        </w:rPr>
        <w:t xml:space="preserve">" </w:t>
      </w:r>
      <w:r>
        <w:rPr>
          <w:rFonts w:ascii="Simplified Arabic" w:hAnsi="Simplified Arabic" w:cs="Simplified Arabic"/>
          <w:sz w:val="24"/>
          <w:szCs w:val="24"/>
          <w:rtl/>
        </w:rPr>
        <w:t>عند ميراندا فريكر</w:t>
      </w:r>
      <w:r>
        <w:rPr>
          <w:rFonts w:ascii="Simplified Arabic" w:hAnsi="Simplified Arabic" w:cs="Simplified Arabic"/>
          <w:sz w:val="24"/>
          <w:szCs w:val="24"/>
        </w:rPr>
        <w:t xml:space="preserve"> (Fricker, 2007)</w:t>
      </w:r>
      <w:r>
        <w:rPr>
          <w:rFonts w:ascii="Simplified Arabic" w:hAnsi="Simplified Arabic" w:cs="Simplified Arabic"/>
          <w:sz w:val="24"/>
          <w:szCs w:val="24"/>
          <w:rtl/>
        </w:rPr>
        <w:t>، اللذين يكشفان كيف تُهمَّش معرفة المستعمَر أو تُشكَّك مصداقيتها. غير أن هذه الأدبيات لم تُطبّق بشكل منهجي على الحالة الفلسطينية، وهو ما تحاول هذه الورقة إنجازه</w:t>
      </w:r>
      <w:r>
        <w:rPr>
          <w:rFonts w:ascii="Simplified Arabic" w:hAnsi="Simplified Arabic" w:cs="Simplified Arabic"/>
          <w:sz w:val="24"/>
          <w:szCs w:val="24"/>
        </w:rPr>
        <w:t>.</w:t>
      </w:r>
    </w:p>
    <w:p w14:paraId="10318CC3">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أما في مجال إبادة التعليم</w:t>
      </w:r>
      <w:r>
        <w:rPr>
          <w:rFonts w:ascii="Simplified Arabic" w:hAnsi="Simplified Arabic" w:cs="Simplified Arabic"/>
          <w:sz w:val="24"/>
          <w:szCs w:val="24"/>
        </w:rPr>
        <w:t xml:space="preserve"> (Educide/Scholasticide)</w:t>
      </w:r>
      <w:r>
        <w:rPr>
          <w:rFonts w:ascii="Simplified Arabic" w:hAnsi="Simplified Arabic" w:cs="Simplified Arabic"/>
          <w:sz w:val="24"/>
          <w:szCs w:val="24"/>
          <w:rtl/>
        </w:rPr>
        <w:t>، فقد ظهرت دراسات حديثة مهمة بعد حرب 2023. فقد قدّم حمامرة وآخرون</w:t>
      </w:r>
      <w:r>
        <w:rPr>
          <w:rFonts w:ascii="Simplified Arabic" w:hAnsi="Simplified Arabic" w:cs="Simplified Arabic"/>
          <w:sz w:val="24"/>
          <w:szCs w:val="24"/>
        </w:rPr>
        <w:t xml:space="preserve"> (Hamamra, Mahamid, &amp; Mayaleh, 2025)</w:t>
      </w:r>
      <w:r>
        <w:rPr>
          <w:rFonts w:ascii="Simplified Arabic" w:hAnsi="Simplified Arabic" w:cs="Simplified Arabic"/>
          <w:sz w:val="24"/>
          <w:szCs w:val="24"/>
          <w:rtl/>
        </w:rPr>
        <w:t xml:space="preserve">، في مجلة </w:t>
      </w:r>
      <w:r>
        <w:rPr>
          <w:rStyle w:val="16"/>
          <w:rFonts w:ascii="Simplified Arabic" w:hAnsi="Simplified Arabic" w:cs="Simplified Arabic"/>
          <w:color w:val="auto"/>
          <w:sz w:val="24"/>
          <w:szCs w:val="24"/>
        </w:rPr>
        <w:t>SAGE</w:t>
      </w:r>
      <w:r>
        <w:rPr>
          <w:rFonts w:ascii="Simplified Arabic" w:hAnsi="Simplified Arabic" w:cs="Simplified Arabic"/>
          <w:sz w:val="24"/>
          <w:szCs w:val="24"/>
          <w:rtl/>
        </w:rPr>
        <w:t>، دراسة وثّقت منهجية تدمير التعليم في غزة وحلّلت التحديات التي واجهها القطاع التعليمي. كما قدّم إريقات وعلاوسي</w:t>
      </w:r>
      <w:r>
        <w:rPr>
          <w:rFonts w:ascii="Simplified Arabic" w:hAnsi="Simplified Arabic" w:cs="Simplified Arabic"/>
          <w:sz w:val="24"/>
          <w:szCs w:val="24"/>
        </w:rPr>
        <w:t xml:space="preserve"> (Iriqat &amp; Alousi, 2025) </w:t>
      </w:r>
      <w:r>
        <w:rPr>
          <w:rFonts w:ascii="Simplified Arabic" w:hAnsi="Simplified Arabic" w:cs="Simplified Arabic"/>
          <w:sz w:val="24"/>
          <w:szCs w:val="24"/>
          <w:rtl/>
        </w:rPr>
        <w:t xml:space="preserve">في </w:t>
      </w:r>
      <w:r>
        <w:rPr>
          <w:rStyle w:val="16"/>
          <w:rFonts w:ascii="Simplified Arabic" w:hAnsi="Simplified Arabic" w:cs="Simplified Arabic"/>
          <w:color w:val="auto"/>
          <w:sz w:val="24"/>
          <w:szCs w:val="24"/>
        </w:rPr>
        <w:t>Emerald – Quality Education for All</w:t>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تحليلاً لصراع النظام التعليمي الفلسطيني وتوثيقاً للتدمير المنهجي للبنية التحتية. ونشرت </w:t>
      </w:r>
      <w:r>
        <w:rPr>
          <w:rStyle w:val="16"/>
          <w:rFonts w:ascii="Simplified Arabic" w:hAnsi="Simplified Arabic" w:cs="Simplified Arabic"/>
          <w:color w:val="auto"/>
          <w:sz w:val="24"/>
          <w:szCs w:val="24"/>
        </w:rPr>
        <w:t>Opinio Juris</w:t>
      </w:r>
      <w:r>
        <w:rPr>
          <w:rFonts w:ascii="Simplified Arabic" w:hAnsi="Simplified Arabic" w:cs="Simplified Arabic"/>
          <w:sz w:val="24"/>
          <w:szCs w:val="24"/>
        </w:rPr>
        <w:t xml:space="preserve"> (2025) </w:t>
      </w:r>
      <w:r>
        <w:rPr>
          <w:rFonts w:ascii="Simplified Arabic" w:hAnsi="Simplified Arabic" w:cs="Simplified Arabic"/>
          <w:sz w:val="24"/>
          <w:szCs w:val="24"/>
          <w:rtl/>
        </w:rPr>
        <w:t xml:space="preserve">تقريراً بعنوان </w:t>
      </w:r>
      <w:r>
        <w:rPr>
          <w:rFonts w:ascii="Simplified Arabic" w:hAnsi="Simplified Arabic" w:cs="Simplified Arabic"/>
          <w:sz w:val="24"/>
          <w:szCs w:val="24"/>
        </w:rPr>
        <w:t xml:space="preserve">"Scholasticide in Gaza" </w:t>
      </w:r>
      <w:r>
        <w:rPr>
          <w:rFonts w:ascii="Simplified Arabic" w:hAnsi="Simplified Arabic" w:cs="Simplified Arabic"/>
          <w:sz w:val="24"/>
          <w:szCs w:val="24"/>
          <w:rtl/>
        </w:rPr>
        <w:t>أكدت فيه أن تدمير 95.2% من المدارس يمثل استراتيجية متعمدة تهدد أسس التعليم والهوية الثقافية الفلسطينية</w:t>
      </w:r>
      <w:r>
        <w:rPr>
          <w:rFonts w:ascii="Simplified Arabic" w:hAnsi="Simplified Arabic" w:cs="Simplified Arabic"/>
          <w:sz w:val="24"/>
          <w:szCs w:val="24"/>
        </w:rPr>
        <w:t>.</w:t>
      </w:r>
    </w:p>
    <w:p w14:paraId="095BEBC5">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وأصدرت اليونسكو</w:t>
      </w:r>
      <w:r>
        <w:rPr>
          <w:rFonts w:ascii="Simplified Arabic" w:hAnsi="Simplified Arabic" w:cs="Simplified Arabic"/>
          <w:sz w:val="24"/>
          <w:szCs w:val="24"/>
        </w:rPr>
        <w:t xml:space="preserve"> (UNESCO, 2025) </w:t>
      </w:r>
      <w:r>
        <w:rPr>
          <w:rFonts w:ascii="Simplified Arabic" w:hAnsi="Simplified Arabic" w:cs="Simplified Arabic"/>
          <w:sz w:val="24"/>
          <w:szCs w:val="24"/>
          <w:rtl/>
        </w:rPr>
        <w:t xml:space="preserve">تقريراً وثّق أن 95% من الحرم الجامعي في غزة تضرر، واتهم خبراء الأمم المتحدة إسرائيل بارتكاب </w:t>
      </w:r>
      <w:r>
        <w:rPr>
          <w:rFonts w:ascii="Simplified Arabic" w:hAnsi="Simplified Arabic" w:cs="Simplified Arabic"/>
          <w:sz w:val="24"/>
          <w:szCs w:val="24"/>
        </w:rPr>
        <w:t>"</w:t>
      </w:r>
      <w:r>
        <w:rPr>
          <w:rFonts w:ascii="Simplified Arabic" w:hAnsi="Simplified Arabic" w:cs="Simplified Arabic"/>
          <w:sz w:val="24"/>
          <w:szCs w:val="24"/>
          <w:rtl/>
        </w:rPr>
        <w:t>إبادة تعليمية</w:t>
      </w:r>
      <w:r>
        <w:rPr>
          <w:rFonts w:ascii="Simplified Arabic" w:hAnsi="Simplified Arabic" w:cs="Simplified Arabic"/>
          <w:sz w:val="24"/>
          <w:szCs w:val="24"/>
        </w:rPr>
        <w:t xml:space="preserve">". </w:t>
      </w:r>
      <w:r>
        <w:rPr>
          <w:rFonts w:ascii="Simplified Arabic" w:hAnsi="Simplified Arabic" w:cs="Simplified Arabic"/>
          <w:sz w:val="24"/>
          <w:szCs w:val="24"/>
          <w:rtl/>
        </w:rPr>
        <w:t>كما أصدرت الأونروا</w:t>
      </w:r>
      <w:r>
        <w:rPr>
          <w:rFonts w:ascii="Simplified Arabic" w:hAnsi="Simplified Arabic" w:cs="Simplified Arabic"/>
          <w:sz w:val="24"/>
          <w:szCs w:val="24"/>
        </w:rPr>
        <w:t xml:space="preserve"> (UNRWA, 2025) </w:t>
      </w:r>
      <w:r>
        <w:rPr>
          <w:rFonts w:ascii="Simplified Arabic" w:hAnsi="Simplified Arabic" w:cs="Simplified Arabic"/>
          <w:sz w:val="24"/>
          <w:szCs w:val="24"/>
          <w:rtl/>
        </w:rPr>
        <w:t>بالتعاون مع اليونسكو تقريراً حول تدمير البنية التحتية التعليمية</w:t>
      </w:r>
      <w:r>
        <w:rPr>
          <w:rFonts w:ascii="Simplified Arabic" w:hAnsi="Simplified Arabic" w:cs="Simplified Arabic"/>
          <w:sz w:val="24"/>
          <w:szCs w:val="24"/>
        </w:rPr>
        <w:t>.</w:t>
      </w:r>
    </w:p>
    <w:p w14:paraId="52200993">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وفي مجال الأمن الوجودي التطبيقي على السياق الفلسطيني، نشرت دار نشر جامعة أكسفورد</w:t>
      </w:r>
      <w:r>
        <w:rPr>
          <w:rFonts w:ascii="Simplified Arabic" w:hAnsi="Simplified Arabic" w:cs="Simplified Arabic"/>
          <w:sz w:val="24"/>
          <w:szCs w:val="24"/>
        </w:rPr>
        <w:t xml:space="preserve"> (Oxford University Press, 2025) </w:t>
      </w:r>
      <w:r>
        <w:rPr>
          <w:rFonts w:ascii="Simplified Arabic" w:hAnsi="Simplified Arabic" w:cs="Simplified Arabic"/>
          <w:sz w:val="24"/>
          <w:szCs w:val="24"/>
          <w:rtl/>
        </w:rPr>
        <w:t xml:space="preserve">دراسة حول </w:t>
      </w:r>
      <w:r>
        <w:rPr>
          <w:rFonts w:ascii="Simplified Arabic" w:hAnsi="Simplified Arabic" w:cs="Simplified Arabic"/>
          <w:sz w:val="24"/>
          <w:szCs w:val="24"/>
        </w:rPr>
        <w:t>"</w:t>
      </w:r>
      <w:r>
        <w:rPr>
          <w:rFonts w:ascii="Simplified Arabic" w:hAnsi="Simplified Arabic" w:cs="Simplified Arabic"/>
          <w:sz w:val="24"/>
          <w:szCs w:val="24"/>
          <w:rtl/>
        </w:rPr>
        <w:t>تطبيع 'غزة' في القدس</w:t>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تحلل كيف تؤدي إعادة تسمية الأماكن إلى إنتاج انعدام الأمن الوجودي. كما نشرت </w:t>
      </w:r>
      <w:r>
        <w:rPr>
          <w:rStyle w:val="16"/>
          <w:rFonts w:ascii="Simplified Arabic" w:hAnsi="Simplified Arabic" w:cs="Simplified Arabic"/>
          <w:color w:val="auto"/>
          <w:sz w:val="24"/>
          <w:szCs w:val="24"/>
        </w:rPr>
        <w:t>Unisa Press</w:t>
      </w:r>
      <w:r>
        <w:rPr>
          <w:rFonts w:ascii="Simplified Arabic" w:hAnsi="Simplified Arabic" w:cs="Simplified Arabic"/>
          <w:sz w:val="24"/>
          <w:szCs w:val="24"/>
        </w:rPr>
        <w:t xml:space="preserve"> (2026) </w:t>
      </w:r>
      <w:r>
        <w:rPr>
          <w:rFonts w:ascii="Simplified Arabic" w:hAnsi="Simplified Arabic" w:cs="Simplified Arabic"/>
          <w:sz w:val="24"/>
          <w:szCs w:val="24"/>
          <w:rtl/>
        </w:rPr>
        <w:t xml:space="preserve">دراسة بعنوان </w:t>
      </w:r>
      <w:r>
        <w:rPr>
          <w:rFonts w:ascii="Simplified Arabic" w:hAnsi="Simplified Arabic" w:cs="Simplified Arabic"/>
          <w:sz w:val="24"/>
          <w:szCs w:val="24"/>
        </w:rPr>
        <w:t>"</w:t>
      </w:r>
      <w:r>
        <w:rPr>
          <w:rFonts w:ascii="Simplified Arabic" w:hAnsi="Simplified Arabic" w:cs="Simplified Arabic"/>
          <w:sz w:val="24"/>
          <w:szCs w:val="24"/>
          <w:rtl/>
        </w:rPr>
        <w:t>إعادة التفكير في التعليم في/مع غزة في زمن الفشل</w:t>
      </w:r>
      <w:r>
        <w:rPr>
          <w:rFonts w:ascii="Simplified Arabic" w:hAnsi="Simplified Arabic" w:cs="Simplified Arabic"/>
          <w:sz w:val="24"/>
          <w:szCs w:val="24"/>
        </w:rPr>
        <w:t>"</w:t>
      </w:r>
      <w:r>
        <w:rPr>
          <w:rFonts w:ascii="Simplified Arabic" w:hAnsi="Simplified Arabic" w:cs="Simplified Arabic"/>
          <w:sz w:val="24"/>
          <w:szCs w:val="24"/>
          <w:rtl/>
        </w:rPr>
        <w:t>، تدعو إلى تحول أنطولوجي نحو تعليم من أجل العدالة</w:t>
      </w:r>
      <w:r>
        <w:rPr>
          <w:rFonts w:ascii="Simplified Arabic" w:hAnsi="Simplified Arabic" w:cs="Simplified Arabic"/>
          <w:sz w:val="24"/>
          <w:szCs w:val="24"/>
        </w:rPr>
        <w:t>.</w:t>
      </w:r>
    </w:p>
    <w:p w14:paraId="54CE4D03">
      <w:pPr>
        <w:bidi/>
        <w:spacing w:before="100" w:beforeAutospacing="1" w:after="100" w:afterAutospacing="1" w:line="240" w:lineRule="auto"/>
        <w:rPr>
          <w:rFonts w:ascii="Simplified Arabic" w:hAnsi="Simplified Arabic" w:eastAsia="Times New Roman" w:cs="Simplified Arabic"/>
          <w:sz w:val="24"/>
          <w:szCs w:val="24"/>
          <w:rtl/>
          <w:lang w:bidi="ar-JO"/>
        </w:rPr>
      </w:pPr>
      <w:r>
        <w:rPr>
          <w:rFonts w:ascii="Simplified Arabic" w:hAnsi="Simplified Arabic" w:eastAsia="Times New Roman" w:cs="Simplified Arabic"/>
          <w:sz w:val="24"/>
          <w:szCs w:val="24"/>
          <w:rtl/>
        </w:rPr>
        <w:t>أما الأدبيات المؤسسية المقارنة، مثل كتاب ساري حنفي وليندا طبر</w:t>
      </w:r>
      <w:r>
        <w:rPr>
          <w:rFonts w:ascii="Simplified Arabic" w:hAnsi="Simplified Arabic" w:eastAsia="Times New Roman" w:cs="Simplified Arabic"/>
          <w:sz w:val="24"/>
          <w:szCs w:val="24"/>
        </w:rPr>
        <w:t xml:space="preserve"> (Hanafi &amp; Tabar, 2005) </w:t>
      </w:r>
      <w:r>
        <w:rPr>
          <w:rFonts w:ascii="Simplified Arabic" w:hAnsi="Simplified Arabic" w:eastAsia="Times New Roman" w:cs="Simplified Arabic"/>
          <w:sz w:val="24"/>
          <w:szCs w:val="24"/>
          <w:rtl/>
        </w:rPr>
        <w:t>حول تشكّل النخبة الفلسطينية المعولمة، فقدّم خلفية عن موقع المعرفة الفلسطينية داخل شبكات التمويل والسلطة، لكنه لا يركز على إبادة التعليم بشكل مباشر. كذلك أعمال غريدي وروبنز</w:t>
      </w:r>
      <w:r>
        <w:rPr>
          <w:rFonts w:ascii="Simplified Arabic" w:hAnsi="Simplified Arabic" w:eastAsia="Times New Roman" w:cs="Simplified Arabic"/>
          <w:sz w:val="24"/>
          <w:szCs w:val="24"/>
        </w:rPr>
        <w:t xml:space="preserve"> (Gready &amp; Robins, 2014) </w:t>
      </w:r>
      <w:r>
        <w:rPr>
          <w:rFonts w:ascii="Simplified Arabic" w:hAnsi="Simplified Arabic" w:eastAsia="Times New Roman" w:cs="Simplified Arabic"/>
          <w:sz w:val="24"/>
          <w:szCs w:val="24"/>
          <w:rtl/>
        </w:rPr>
        <w:t xml:space="preserve">حول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العدالة التحويلية</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 xml:space="preserve">، التي تناولت دور المؤسسات في التوثيق بعد الصراع، لكنها لا تعالج حالة الجامعة داخل الصراع ذاته. هذه الأدبيات تفتح المجال لفهم دور المؤسسات التعليمية في إنتاج المعرفة بعد النزاعات، لكنها لا تفسر كيف تتحول الجامعة نفسها إلى فاعل مقاوم أثناء النزاع، وهو ما تسعى هذه الورقة إلى معالجته عبر مفهوم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الجامعة الشاهدة</w:t>
      </w:r>
      <w:r>
        <w:rPr>
          <w:rFonts w:ascii="Simplified Arabic" w:hAnsi="Simplified Arabic" w:eastAsia="Times New Roman" w:cs="Simplified Arabic"/>
          <w:sz w:val="24"/>
          <w:szCs w:val="24"/>
        </w:rPr>
        <w:t>".</w:t>
      </w:r>
    </w:p>
    <w:p w14:paraId="080B22AE">
      <w:pPr>
        <w:bidi/>
        <w:spacing w:before="100" w:beforeAutospacing="1" w:after="100" w:afterAutospacing="1" w:line="240" w:lineRule="auto"/>
        <w:outlineLvl w:val="2"/>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ثالثاً: موقع هذا البحث من الأدبيات (الفجوة المعرفية)</w:t>
      </w:r>
    </w:p>
    <w:p w14:paraId="6E71CBC3">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على الرغم من أهمية الدراسات العربية والأجنبية السابقة في توثيق التدمير، أو تنظير الصمود، أو تفسير الصراع على المعرفة، أو تطوير نظرية الأمن الوجودي، فإنها لم تطور إطاراً تفسيرياً يربط بين إبادة التعليم وتقويض الأمن الوجودي والصمود الأنطولوجي والجامعة بوصفها فاعلاً شاهداً. كما أن معظم هذه الدراسات تعاملت مع غزة والقدس كحالتين منفصلتين، ولم تكشف البنية الاستعمارية المشتركة التي تنتجهما. علاوة على ذلك، غابت عنها المقارنة المنهجية بين العنف السريع (غزة) والعنف البطيء (القدس) ودور الجامعة الشاهدة في مواجهتهما</w:t>
      </w:r>
      <w:r>
        <w:rPr>
          <w:rFonts w:ascii="Simplified Arabic" w:hAnsi="Simplified Arabic" w:eastAsia="Times New Roman" w:cs="Simplified Arabic"/>
          <w:sz w:val="24"/>
          <w:szCs w:val="24"/>
        </w:rPr>
        <w:t>.</w:t>
      </w:r>
    </w:p>
    <w:p w14:paraId="1E038D5A">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من هنا، تأتي هذه الورقة لتسد الفجوة التي تركتها الدراسات السابقة، من خلال</w:t>
      </w:r>
      <w:r>
        <w:rPr>
          <w:rFonts w:ascii="Simplified Arabic" w:hAnsi="Simplified Arabic" w:eastAsia="Times New Roman" w:cs="Simplified Arabic"/>
          <w:sz w:val="24"/>
          <w:szCs w:val="24"/>
        </w:rPr>
        <w:t>:</w:t>
      </w:r>
    </w:p>
    <w:p w14:paraId="3D67606C">
      <w:pPr>
        <w:numPr>
          <w:ilvl w:val="0"/>
          <w:numId w:val="1"/>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تقديم إطار تحليلي متكامل يدمج نظريات الاستعمار الاستيطاني، والأمن الوجودي، والعنف البطيء، والسيادة المعرفية</w:t>
      </w:r>
      <w:r>
        <w:rPr>
          <w:rFonts w:ascii="Simplified Arabic" w:hAnsi="Simplified Arabic" w:eastAsia="Times New Roman" w:cs="Simplified Arabic"/>
          <w:sz w:val="24"/>
          <w:szCs w:val="24"/>
        </w:rPr>
        <w:t>.</w:t>
      </w:r>
    </w:p>
    <w:p w14:paraId="6625A7B3">
      <w:pPr>
        <w:numPr>
          <w:ilvl w:val="0"/>
          <w:numId w:val="1"/>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 xml:space="preserve">تطوير مفهومي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الصمود الأنطولوجي</w:t>
      </w:r>
      <w:r>
        <w:rPr>
          <w:rFonts w:ascii="Simplified Arabic" w:hAnsi="Simplified Arabic" w:eastAsia="Times New Roman" w:cs="Simplified Arabic"/>
          <w:sz w:val="24"/>
          <w:szCs w:val="24"/>
        </w:rPr>
        <w:t xml:space="preserve">" </w:t>
      </w:r>
      <w:r>
        <w:rPr>
          <w:rFonts w:ascii="Simplified Arabic" w:hAnsi="Simplified Arabic" w:eastAsia="Times New Roman" w:cs="Simplified Arabic"/>
          <w:sz w:val="24"/>
          <w:szCs w:val="24"/>
          <w:rtl/>
        </w:rPr>
        <w:t>و</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الجامعة الشاهدة</w:t>
      </w:r>
      <w:r>
        <w:rPr>
          <w:rFonts w:ascii="Simplified Arabic" w:hAnsi="Simplified Arabic" w:eastAsia="Times New Roman" w:cs="Simplified Arabic"/>
          <w:sz w:val="24"/>
          <w:szCs w:val="24"/>
        </w:rPr>
        <w:t xml:space="preserve">" </w:t>
      </w:r>
      <w:r>
        <w:rPr>
          <w:rFonts w:ascii="Simplified Arabic" w:hAnsi="Simplified Arabic" w:eastAsia="Times New Roman" w:cs="Simplified Arabic"/>
          <w:sz w:val="24"/>
          <w:szCs w:val="24"/>
          <w:rtl/>
        </w:rPr>
        <w:t>كمساهمة نظرية أصيلة</w:t>
      </w:r>
      <w:r>
        <w:rPr>
          <w:rFonts w:ascii="Simplified Arabic" w:hAnsi="Simplified Arabic" w:eastAsia="Times New Roman" w:cs="Simplified Arabic"/>
          <w:sz w:val="24"/>
          <w:szCs w:val="24"/>
        </w:rPr>
        <w:t>.</w:t>
      </w:r>
    </w:p>
    <w:p w14:paraId="09C268C9">
      <w:pPr>
        <w:numPr>
          <w:ilvl w:val="0"/>
          <w:numId w:val="1"/>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إجراء مقارنة بنيوية بين حالتي غزة والقدس، مع توثيق ميداني عبر مقابلات معمقة (بما فيها مقابلات مع شخصيات بارزة مثل د. إبراهيم أبو جابر والمعلمة فاطمة أبو طير، بتواريخ ووسائل موثقة)</w:t>
      </w:r>
    </w:p>
    <w:p w14:paraId="11EE412D">
      <w:pPr>
        <w:bidi/>
        <w:spacing w:line="240" w:lineRule="auto"/>
        <w:rPr>
          <w:rFonts w:ascii="Simplified Arabic" w:hAnsi="Simplified Arabic" w:cs="Simplified Arabic"/>
          <w:b/>
          <w:bCs/>
          <w:sz w:val="24"/>
          <w:szCs w:val="24"/>
          <w:rtl/>
        </w:rPr>
      </w:pPr>
      <w:r>
        <w:rPr>
          <w:rFonts w:hint="cs" w:ascii="Simplified Arabic" w:hAnsi="Simplified Arabic" w:cs="Simplified Arabic"/>
          <w:b/>
          <w:bCs/>
          <w:sz w:val="24"/>
          <w:szCs w:val="24"/>
          <w:rtl/>
        </w:rPr>
        <w:t xml:space="preserve"> تاسعاً : </w:t>
      </w:r>
      <w:r>
        <w:rPr>
          <w:rFonts w:ascii="Simplified Arabic" w:hAnsi="Simplified Arabic" w:cs="Simplified Arabic"/>
          <w:b/>
          <w:bCs/>
          <w:sz w:val="24"/>
          <w:szCs w:val="24"/>
          <w:rtl/>
        </w:rPr>
        <w:t>الإطار النظري</w:t>
      </w:r>
    </w:p>
    <w:p w14:paraId="4F3075AE">
      <w:pPr>
        <w:bidi/>
        <w:spacing w:line="240" w:lineRule="auto"/>
        <w:rPr>
          <w:rFonts w:ascii="Simplified Arabic" w:hAnsi="Simplified Arabic" w:cs="Simplified Arabic"/>
          <w:b/>
          <w:bCs/>
          <w:sz w:val="24"/>
          <w:szCs w:val="24"/>
        </w:rPr>
      </w:pPr>
    </w:p>
    <w:p w14:paraId="70133B2F">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ينطلق هذا البحث من فرضية مركزية مفادها أن استهداف التعليم الفلسطيني لا يمكن فهمه بوصفه ضرراً جانبياً للصراع أو نتيجة عرضية للحرب، بل ينبغي تحليله باعتباره ممارسة استعمارية استيطانية ممنهجة تستهدف البنية الوجودية والمعرفية للمجتمع الفلسطيني</w:t>
      </w:r>
      <w:r>
        <w:rPr>
          <w:rFonts w:ascii="Simplified Arabic" w:hAnsi="Simplified Arabic" w:cs="Simplified Arabic"/>
          <w:sz w:val="24"/>
          <w:szCs w:val="24"/>
        </w:rPr>
        <w:t xml:space="preserve"> (Wolfe, 2006, p. 388; Veracini, 2013, p. 314). </w:t>
      </w:r>
      <w:r>
        <w:rPr>
          <w:rFonts w:ascii="Simplified Arabic" w:hAnsi="Simplified Arabic" w:cs="Simplified Arabic"/>
          <w:sz w:val="24"/>
          <w:szCs w:val="24"/>
          <w:rtl/>
        </w:rPr>
        <w:t>فالتعليم، في الحالة الفلسطينية، يشكّل أحد أهم الحوامل التي تُعيد إنتاج الهوية، وتحفظ الذاكرة الجمعية، وتربط الماضي بالمستقبل عبر الاستمرارية المعرفية والسردية</w:t>
      </w:r>
      <w:r>
        <w:rPr>
          <w:rFonts w:ascii="Simplified Arabic" w:hAnsi="Simplified Arabic" w:cs="Simplified Arabic"/>
          <w:sz w:val="24"/>
          <w:szCs w:val="24"/>
        </w:rPr>
        <w:t xml:space="preserve"> (Giddens, 1991, p. 92; Halbwachs, 1992, p. 52). </w:t>
      </w:r>
      <w:r>
        <w:rPr>
          <w:rFonts w:ascii="Simplified Arabic" w:hAnsi="Simplified Arabic" w:cs="Simplified Arabic"/>
          <w:sz w:val="24"/>
          <w:szCs w:val="24"/>
          <w:rtl/>
        </w:rPr>
        <w:t>لذلك يعتمد البحث إطاراً نظرياً مركّباً يدمج بين أربع مقاربات: الاستعمار الاستيطاني، الأمن الوجودي، العنف البطيء، والسيادة المعرفية، وصولاً إلى تطوير مفهوم "الجامعة الشاهدة" كمساهمة أصيلة</w:t>
      </w:r>
      <w:r>
        <w:rPr>
          <w:rFonts w:ascii="Simplified Arabic" w:hAnsi="Simplified Arabic" w:cs="Simplified Arabic"/>
          <w:sz w:val="24"/>
          <w:szCs w:val="24"/>
        </w:rPr>
        <w:t>.</w:t>
      </w:r>
    </w:p>
    <w:p w14:paraId="4DE312BF">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t>أولاً: الاستعمار الاستيطاني ومنطق الإلغاء</w:t>
      </w:r>
    </w:p>
    <w:p w14:paraId="5C812A66">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يُظهر هذا المدخل أن إبادة التعليم امتداد مباشر لمنطق الإلغاء الذي يميز الاستعمار الاستيطاني، حيث يسعى المستوطن إلى إزالة السكان الأصليين واستبدالهم، لا مجرد السيطرة عليهم</w:t>
      </w:r>
      <w:r>
        <w:rPr>
          <w:rFonts w:ascii="Simplified Arabic" w:hAnsi="Simplified Arabic" w:cs="Simplified Arabic"/>
          <w:sz w:val="24"/>
          <w:szCs w:val="24"/>
        </w:rPr>
        <w:t xml:space="preserve"> (Wolfe, 2006, p. 388). </w:t>
      </w:r>
      <w:r>
        <w:rPr>
          <w:rFonts w:ascii="Simplified Arabic" w:hAnsi="Simplified Arabic" w:cs="Simplified Arabic"/>
          <w:sz w:val="24"/>
          <w:szCs w:val="24"/>
          <w:rtl/>
        </w:rPr>
        <w:t>في هذا السياق، يصبح تدمير المدارس والجامعات وفرض المناهج الاستعمارية جزءاً من مشروع محو الوجود الفلسطيني معرفياً وثقافياً. ويوضح تحليل فيراسيني لأشكال "النقل الاستيطاني" أن الإزالة لا تتم فقط عبر التهجير الجسدي، بل أيضاً عبر النقل الزمني والمعرفي</w:t>
      </w:r>
      <w:r>
        <w:rPr>
          <w:rFonts w:ascii="Simplified Arabic" w:hAnsi="Simplified Arabic" w:cs="Simplified Arabic"/>
          <w:sz w:val="24"/>
          <w:szCs w:val="24"/>
        </w:rPr>
        <w:t xml:space="preserve"> (Veracini, 2013, pp. 315–317)</w:t>
      </w:r>
      <w:r>
        <w:rPr>
          <w:rFonts w:ascii="Simplified Arabic" w:hAnsi="Simplified Arabic" w:cs="Simplified Arabic"/>
          <w:sz w:val="24"/>
          <w:szCs w:val="24"/>
          <w:rtl/>
        </w:rPr>
        <w:t>، وهو ما يفسر الجمع بين العنف المباشر في غزة والسياسات التربوية التراكمية في القدس</w:t>
      </w:r>
      <w:r>
        <w:rPr>
          <w:rFonts w:ascii="Simplified Arabic" w:hAnsi="Simplified Arabic" w:cs="Simplified Arabic"/>
          <w:sz w:val="24"/>
          <w:szCs w:val="24"/>
        </w:rPr>
        <w:t>.</w:t>
      </w:r>
    </w:p>
    <w:p w14:paraId="5E51E48D">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t>ثانياً: الأمن الوجودي وتقويض الاستمرارية</w:t>
      </w:r>
    </w:p>
    <w:p w14:paraId="035BE64F">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يقدّم مفهوم الأمن الوجودي كما طوّره غيدنز إطاراً لفهم الأبعاد النفسية–الاجتماعية لاستهداف التعليم، إذ يقوم على ثلاثة أعمدة: الروتين اليومي، السردية الذاتية، والثقة بالمؤسسات</w:t>
      </w:r>
      <w:r>
        <w:rPr>
          <w:rFonts w:ascii="Simplified Arabic" w:hAnsi="Simplified Arabic" w:cs="Simplified Arabic"/>
          <w:sz w:val="24"/>
          <w:szCs w:val="24"/>
        </w:rPr>
        <w:t xml:space="preserve"> (Giddens, 1991, p. 92). </w:t>
      </w:r>
      <w:r>
        <w:rPr>
          <w:rFonts w:ascii="Simplified Arabic" w:hAnsi="Simplified Arabic" w:cs="Simplified Arabic"/>
          <w:sz w:val="24"/>
          <w:szCs w:val="24"/>
          <w:rtl/>
        </w:rPr>
        <w:t>وقد وسّعت ميتزن المفهوم إلى العلاقات الدولية، مؤكدة أن الجماعات تتمسك بممارسات معينة حفاظاً على هويتها حتى لو هدد ذلك أمنها المادي</w:t>
      </w:r>
      <w:r>
        <w:rPr>
          <w:rFonts w:ascii="Simplified Arabic" w:hAnsi="Simplified Arabic" w:cs="Simplified Arabic"/>
          <w:sz w:val="24"/>
          <w:szCs w:val="24"/>
        </w:rPr>
        <w:t xml:space="preserve"> (Mitzen, 2006, p. 342). </w:t>
      </w:r>
      <w:r>
        <w:rPr>
          <w:rFonts w:ascii="Simplified Arabic" w:hAnsi="Simplified Arabic" w:cs="Simplified Arabic"/>
          <w:sz w:val="24"/>
          <w:szCs w:val="24"/>
          <w:rtl/>
        </w:rPr>
        <w:t>في الحالة الفلسطينية، يؤدي استهداف التعليم إلى تفكك الروتين، اضطراب السردية، وفقدان الثقة بالمستقبل، ما يخلق أزمة وجودية جماعية</w:t>
      </w:r>
      <w:r>
        <w:rPr>
          <w:rFonts w:ascii="Simplified Arabic" w:hAnsi="Simplified Arabic" w:cs="Simplified Arabic"/>
          <w:sz w:val="24"/>
          <w:szCs w:val="24"/>
        </w:rPr>
        <w:t xml:space="preserve"> (Steele, 2008, p. 28).</w:t>
      </w:r>
    </w:p>
    <w:p w14:paraId="286F5E87">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t>ثالثاً: العنف البطيء واستهداف التعليم كعملية زمنية</w:t>
      </w:r>
    </w:p>
    <w:p w14:paraId="7738F8DA">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يتيح مفهوم العنف البطيء كما صاغه نيكسون قراءة دقيقة لحالة القدس، حيث يتم الاستهداف عبر سياسات تراكمية تبدو إدارية أو تربوية، لكنها تؤدي إلى تفكيك النظام التعليمي تدريجياً</w:t>
      </w:r>
      <w:r>
        <w:rPr>
          <w:rFonts w:ascii="Simplified Arabic" w:hAnsi="Simplified Arabic" w:cs="Simplified Arabic"/>
          <w:sz w:val="24"/>
          <w:szCs w:val="24"/>
        </w:rPr>
        <w:t xml:space="preserve"> (Nixon, 2011, p. 2). </w:t>
      </w:r>
      <w:r>
        <w:rPr>
          <w:rFonts w:ascii="Simplified Arabic" w:hAnsi="Simplified Arabic" w:cs="Simplified Arabic"/>
          <w:sz w:val="24"/>
          <w:szCs w:val="24"/>
          <w:rtl/>
        </w:rPr>
        <w:t>في المقابل، تمثل غزة نموذج العنف السريع عبر القصف المباشر. ورغم اختلاف الإيقاع، فإن النتيجة في الحالتين واحدة: تقويض القدرة على إعادة إنتاج الهوية والمعرفة الفلسطينية</w:t>
      </w:r>
      <w:r>
        <w:rPr>
          <w:rFonts w:ascii="Simplified Arabic" w:hAnsi="Simplified Arabic" w:cs="Simplified Arabic"/>
          <w:sz w:val="24"/>
          <w:szCs w:val="24"/>
        </w:rPr>
        <w:t xml:space="preserve"> (Nixon, 2011, p. 6).</w:t>
      </w:r>
    </w:p>
    <w:p w14:paraId="37CBD084">
      <w:pPr>
        <w:bidi/>
        <w:spacing w:line="240" w:lineRule="auto"/>
        <w:rPr>
          <w:rFonts w:ascii="Simplified Arabic" w:hAnsi="Simplified Arabic" w:cs="Simplified Arabic"/>
          <w:b/>
          <w:bCs/>
          <w:i/>
          <w:iCs/>
          <w:sz w:val="24"/>
          <w:szCs w:val="24"/>
          <w:rtl/>
        </w:rPr>
      </w:pPr>
      <w:r>
        <w:rPr>
          <w:rFonts w:ascii="Simplified Arabic" w:hAnsi="Simplified Arabic" w:cs="Simplified Arabic"/>
          <w:b/>
          <w:bCs/>
          <w:i/>
          <w:iCs/>
          <w:sz w:val="24"/>
          <w:szCs w:val="24"/>
          <w:rtl/>
        </w:rPr>
        <w:t>رابعاً: السيادة المعرفية والاستعمار المعرفي</w:t>
      </w:r>
    </w:p>
    <w:p w14:paraId="23D051DC">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تُظهر أدبيات السيادة المعرفية أن الاستعمار لا يهيمن على الأرض فقط، بل على المعرفة ذاتها</w:t>
      </w:r>
      <w:r>
        <w:rPr>
          <w:rFonts w:ascii="Simplified Arabic" w:hAnsi="Simplified Arabic" w:cs="Simplified Arabic"/>
          <w:sz w:val="24"/>
          <w:szCs w:val="24"/>
        </w:rPr>
        <w:t xml:space="preserve"> (Quijano, 2000, p. 535; Mignolo, 2011, p. 124). </w:t>
      </w:r>
      <w:r>
        <w:rPr>
          <w:rFonts w:ascii="Simplified Arabic" w:hAnsi="Simplified Arabic" w:cs="Simplified Arabic"/>
          <w:sz w:val="24"/>
          <w:szCs w:val="24"/>
          <w:rtl/>
        </w:rPr>
        <w:t>وتوضح سميث أن البحث نفسه كان جزءاً من مشروع الهيمنة عبر "سرقة المعرفة" و"تشويه التاريخ"، داعية إلى استعادة حق الشعوب الأصلية في إنتاج المعرفة عن ذاتها</w:t>
      </w:r>
      <w:r>
        <w:rPr>
          <w:rFonts w:ascii="Simplified Arabic" w:hAnsi="Simplified Arabic" w:cs="Simplified Arabic"/>
          <w:sz w:val="24"/>
          <w:szCs w:val="24"/>
        </w:rPr>
        <w:t xml:space="preserve"> (Smith, 2012, p. 29). </w:t>
      </w:r>
      <w:r>
        <w:rPr>
          <w:rFonts w:ascii="Simplified Arabic" w:hAnsi="Simplified Arabic" w:cs="Simplified Arabic"/>
          <w:sz w:val="24"/>
          <w:szCs w:val="24"/>
          <w:rtl/>
        </w:rPr>
        <w:t>في السياق الفلسطيني، يتجلى ذلك في فرض المناهج المحرّفة ونزع الشرعية عن الرواية الوطنية، ما يجعل التعليم ساحة مركزية للصراع على الحق في إنتاج المعرفة والذاكرة</w:t>
      </w:r>
      <w:r>
        <w:rPr>
          <w:rFonts w:ascii="Simplified Arabic" w:hAnsi="Simplified Arabic" w:cs="Simplified Arabic"/>
          <w:sz w:val="24"/>
          <w:szCs w:val="24"/>
        </w:rPr>
        <w:t>.</w:t>
      </w:r>
    </w:p>
    <w:p w14:paraId="35B96EE1">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t>خامساً: نحو نموذج نظري للصمود الأنطولوجي والجامعة الشاهدة</w:t>
      </w:r>
    </w:p>
    <w:p w14:paraId="3541109A">
      <w:pPr>
        <w:bidi/>
        <w:spacing w:line="240" w:lineRule="auto"/>
        <w:rPr>
          <w:rFonts w:ascii="Simplified Arabic" w:hAnsi="Simplified Arabic" w:cs="Simplified Arabic"/>
          <w:sz w:val="24"/>
          <w:szCs w:val="24"/>
          <w:rtl/>
        </w:rPr>
      </w:pPr>
      <w:r>
        <w:rPr>
          <w:rFonts w:ascii="Simplified Arabic" w:hAnsi="Simplified Arabic" w:cs="Simplified Arabic"/>
          <w:sz w:val="24"/>
          <w:szCs w:val="24"/>
          <w:rtl/>
        </w:rPr>
        <w:t>من خلال دمج هذه المداخل، يقترح البحث نموذجاً يقرأ إبادة التعليم بوصفها التقاءً بين منطق الإلغاء الاستيطاني، تقويض الأمن الوجودي، تفعيل العنف البطيء، ومأسسة الاستعمار المعرفي. في هذا النموذج، لا يُنظر إلى الجامعة الفلسطينية كضحية فقط، بل كفاعل معرفي مقاوم يمارس التوثيق والشهادة والمقاومة المعرفية، وهو ما تصفه الدراسة بمفهوم "الجامعة الشاهدة" (</w:t>
      </w:r>
      <w:r>
        <w:rPr>
          <w:rFonts w:ascii="Simplified Arabic" w:hAnsi="Simplified Arabic" w:cs="Simplified Arabic"/>
          <w:sz w:val="24"/>
          <w:szCs w:val="24"/>
        </w:rPr>
        <w:t>Gready &amp; Robins, 2014, p. 344; UNESCO, 2025, p. 3</w:t>
      </w:r>
      <w:r>
        <w:rPr>
          <w:rFonts w:ascii="Simplified Arabic" w:hAnsi="Simplified Arabic" w:cs="Simplified Arabic"/>
          <w:sz w:val="24"/>
          <w:szCs w:val="24"/>
          <w:rtl/>
        </w:rPr>
        <w:t>). بهذا، يصبح التعليم الفلسطيني ليس مجرد مجال مستهدف، بل فضاءً لإعادة إنتاج الوجود الجمعي عبر المعرفة والذاكرة والصمود.</w:t>
      </w:r>
    </w:p>
    <w:p w14:paraId="33776CCF">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فقط "موضوعاً للمعرفة".</w:t>
      </w:r>
    </w:p>
    <w:p w14:paraId="19406C77">
      <w:pPr>
        <w:bidi/>
        <w:spacing w:line="240" w:lineRule="auto"/>
        <w:rPr>
          <w:rFonts w:ascii="Simplified Arabic" w:hAnsi="Simplified Arabic" w:cs="Simplified Arabic"/>
          <w:b/>
          <w:bCs/>
          <w:sz w:val="24"/>
          <w:szCs w:val="24"/>
        </w:rPr>
      </w:pPr>
      <w:r>
        <w:rPr>
          <w:rFonts w:ascii="Simplified Arabic" w:hAnsi="Simplified Arabic" w:cs="Simplified Arabic"/>
          <w:b/>
          <w:bCs/>
          <w:sz w:val="24"/>
          <w:szCs w:val="24"/>
          <w:rtl/>
        </w:rPr>
        <w:t>خامساً: الجامعة الشاهدة – المساهمة النظرية الأصيلة للبحث</w:t>
      </w:r>
    </w:p>
    <w:p w14:paraId="11292A75">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استناداً إلى التكامل بين النظريات الأربع السابقة (الاستعمار الاستيطاني، الأمن الوجودي، العنف البطيء، السيادة المعرفية)، يطوّر هذا البحث مفهوم الجامعة الشاهدة (</w:t>
      </w:r>
      <w:r>
        <w:rPr>
          <w:rFonts w:ascii="Simplified Arabic" w:hAnsi="Simplified Arabic" w:cs="Simplified Arabic"/>
          <w:sz w:val="24"/>
          <w:szCs w:val="24"/>
        </w:rPr>
        <w:t>The Witnessing University</w:t>
      </w:r>
      <w:r>
        <w:rPr>
          <w:rFonts w:ascii="Simplified Arabic" w:hAnsi="Simplified Arabic" w:cs="Simplified Arabic"/>
          <w:sz w:val="24"/>
          <w:szCs w:val="24"/>
          <w:rtl/>
        </w:rPr>
        <w:t>) بوصفه المساهمة النظرية المركزية والأصيلة فيه. وتُعرّف الجامعة الشاهدة بأنها:</w:t>
      </w:r>
    </w:p>
    <w:p w14:paraId="352506A5">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مؤسسة أكاديمية تتحول، في شروط تهديدها الوجودي ذاتها، من موضوع للعنف الاستعماري إلى فاعل معرفي يمارس التوثيق والشهادة والمقاومة المعرفية، بما يسهم في حماية الأمن الوجودي وإعادة إنتاج السيادة المعرفية للمجتمع الفلسطيني.</w:t>
      </w:r>
    </w:p>
    <w:p w14:paraId="0989874B">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بهذا التعريف، لا تُختزل الجامعة في دورها التقليدي كمكان للتدريس والبحث فقط، بل يُعاد فهمها بوصفها:</w:t>
      </w:r>
    </w:p>
    <w:p w14:paraId="4C692C4C">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1. حافظة للذاكرة (</w:t>
      </w:r>
      <w:r>
        <w:rPr>
          <w:rFonts w:ascii="Simplified Arabic" w:hAnsi="Simplified Arabic" w:cs="Simplified Arabic"/>
          <w:sz w:val="24"/>
          <w:szCs w:val="24"/>
        </w:rPr>
        <w:t>Archivist</w:t>
      </w:r>
      <w:r>
        <w:rPr>
          <w:rFonts w:ascii="Simplified Arabic" w:hAnsi="Simplified Arabic" w:cs="Simplified Arabic"/>
          <w:sz w:val="24"/>
          <w:szCs w:val="24"/>
          <w:rtl/>
        </w:rPr>
        <w:t>): عبر الأرشفة والتوثيق المنهجي للدمار وللإنتاج المعرفي السابق (حفظ الرسائل الجامعية، توثيق أسماء الشهداء، رفع الصور والفيديوهات على منصات سحابية). هذا التوثيق ليس مجرد حفظ، بل هو فعل مقاومة ضد الإنكار الاستعماري.</w:t>
      </w:r>
    </w:p>
    <w:p w14:paraId="64ABADA1">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2. منتجة للشهادة (</w:t>
      </w:r>
      <w:r>
        <w:rPr>
          <w:rFonts w:ascii="Simplified Arabic" w:hAnsi="Simplified Arabic" w:cs="Simplified Arabic"/>
          <w:sz w:val="24"/>
          <w:szCs w:val="24"/>
        </w:rPr>
        <w:t>Witness</w:t>
      </w:r>
      <w:r>
        <w:rPr>
          <w:rFonts w:ascii="Simplified Arabic" w:hAnsi="Simplified Arabic" w:cs="Simplified Arabic"/>
          <w:sz w:val="24"/>
          <w:szCs w:val="24"/>
          <w:rtl/>
        </w:rPr>
        <w:t>): عبر الكتابة العلمية، البيانات الرسمية، الرواية المضادة، والمخاطبة للمجتمع الدولي. الجامعة لا تسجل ما حدث فقط، بل تُؤطّره وتُسمّيه بلغة المساءلة القانونية والأخلاقية.</w:t>
      </w:r>
    </w:p>
    <w:p w14:paraId="77FADD21">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3. أداة للمقاومة المعرفية (</w:t>
      </w:r>
      <w:r>
        <w:rPr>
          <w:rFonts w:ascii="Simplified Arabic" w:hAnsi="Simplified Arabic" w:cs="Simplified Arabic"/>
          <w:sz w:val="24"/>
          <w:szCs w:val="24"/>
        </w:rPr>
        <w:t>Epistemic Resistance</w:t>
      </w:r>
      <w:r>
        <w:rPr>
          <w:rFonts w:ascii="Simplified Arabic" w:hAnsi="Simplified Arabic" w:cs="Simplified Arabic"/>
          <w:sz w:val="24"/>
          <w:szCs w:val="24"/>
          <w:rtl/>
        </w:rPr>
        <w:t>): عبر استمرار التعليم والبحث وإعادة تعريف المعنى تحت شروط التدمير أو الهيمنة، وتحويل الفعل التعليمي اليومي (محاضرة في خيمة، بحث تحت القصف، مناقشة علمية على واتساب) إلى إعلان وجود.</w:t>
      </w:r>
    </w:p>
    <w:p w14:paraId="66ECADF3">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يتميّز هذا المفهوم بأنه لا ينظر إلى الجامعة الفلسطينية بوصفها ضحية فقط، ولا بوصفها مؤسسة خدماتية فقط، بل بوصفها فضاءً لإعادة إنتاج الوجود الجمعي من خلال المعرفة. وهو بذلك يجمع بين أبعاد الأمن الوجودي (الاستمرارية والهوية)، والسيادة المعرفية (الحق في إنتاج المعرفة)، والصمود الأنطولوجي (إعادة إنتاج الوجود)، في مفهوم واحد يفسّر كيف يمكن للمؤسسة التعليمية أن تواجه الاستعمار لا بالسلاح، بل بالشهادة، والتوثيق، واستمرار إنتاج المعرفة.</w:t>
      </w:r>
    </w:p>
    <w:p w14:paraId="2B1395E9">
      <w:pPr>
        <w:bidi/>
        <w:spacing w:line="240" w:lineRule="auto"/>
        <w:rPr>
          <w:rFonts w:ascii="Simplified Arabic" w:hAnsi="Simplified Arabic" w:cs="Simplified Arabic"/>
          <w:b/>
          <w:bCs/>
          <w:sz w:val="24"/>
          <w:szCs w:val="24"/>
        </w:rPr>
      </w:pPr>
      <w:r>
        <w:rPr>
          <w:rFonts w:ascii="Simplified Arabic" w:hAnsi="Simplified Arabic" w:cs="Simplified Arabic"/>
          <w:b/>
          <w:bCs/>
          <w:sz w:val="24"/>
          <w:szCs w:val="24"/>
          <w:rtl/>
        </w:rPr>
        <w:t>سادساً: النموذج النظري التكاملي للدراسة</w:t>
      </w:r>
    </w:p>
    <w:p w14:paraId="318DB870">
      <w:pPr>
        <w:bidi/>
        <w:spacing w:line="240" w:lineRule="auto"/>
        <w:rPr>
          <w:rFonts w:ascii="Simplified Arabic" w:hAnsi="Simplified Arabic" w:cs="Simplified Arabic"/>
          <w:sz w:val="24"/>
          <w:szCs w:val="24"/>
        </w:rPr>
      </w:pPr>
      <w:r>
        <w:rPr>
          <w:rFonts w:ascii="Simplified Arabic" w:hAnsi="Simplified Arabic" w:cs="Simplified Arabic"/>
          <w:sz w:val="24"/>
          <w:szCs w:val="24"/>
          <w:rtl/>
        </w:rPr>
        <w:t>استناداً إلى ما سبق، يقترح هذا البحث نموذجاً نظرياً متسلسلاً يوضح كيفية اشتغال الظاهرة وكيفية انتقال التعليم من موقع الاستهداف إلى موقع المقاومة:</w:t>
      </w:r>
    </w:p>
    <w:p w14:paraId="3EE9E1AC">
      <w:pPr>
        <w:bidi/>
        <w:spacing w:line="240" w:lineRule="auto"/>
        <w:rPr>
          <w:rFonts w:ascii="Simplified Arabic" w:hAnsi="Simplified Arabic" w:cs="Simplified Arabic"/>
          <w:sz w:val="24"/>
          <w:szCs w:val="24"/>
        </w:rPr>
      </w:pPr>
      <w:r>
        <w:rPr>
          <w:rFonts w:ascii="Simplified Arabic" w:hAnsi="Simplified Arabic" w:cs="Simplified Arabic"/>
          <w:sz w:val="24"/>
          <w:szCs w:val="24"/>
        </w:rPr>
        <w:drawing>
          <wp:inline distT="0" distB="0" distL="0" distR="0">
            <wp:extent cx="6057900" cy="3253740"/>
            <wp:effectExtent l="0" t="0" r="0" b="381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r:embed="rId8" cstate="print">
                      <a:extLst>
                        <a:ext uri="{28A0092B-C50C-407E-A947-70E740481C1C}">
                          <a14:useLocalDpi xmlns:a14="http://schemas.microsoft.com/office/drawing/2010/main" val="0"/>
                        </a:ext>
                      </a:extLst>
                    </a:blip>
                    <a:srcRect r="-2001" b="1840"/>
                    <a:stretch>
                      <a:fillRect/>
                    </a:stretch>
                  </pic:blipFill>
                  <pic:spPr>
                    <a:xfrm>
                      <a:off x="0" y="0"/>
                      <a:ext cx="6062542" cy="3256233"/>
                    </a:xfrm>
                    <a:prstGeom prst="rect">
                      <a:avLst/>
                    </a:prstGeom>
                    <a:ln>
                      <a:noFill/>
                    </a:ln>
                  </pic:spPr>
                </pic:pic>
              </a:graphicData>
            </a:graphic>
          </wp:inline>
        </w:drawing>
      </w:r>
    </w:p>
    <w:p w14:paraId="2FBFA57D">
      <w:pPr>
        <w:pStyle w:val="3"/>
        <w:bidi/>
        <w:spacing w:line="240" w:lineRule="auto"/>
        <w:rPr>
          <w:rFonts w:ascii="Simplified Arabic" w:hAnsi="Simplified Arabic" w:cs="Simplified Arabic"/>
          <w:color w:val="auto"/>
          <w:sz w:val="24"/>
          <w:szCs w:val="24"/>
          <w:rtl/>
        </w:rPr>
      </w:pPr>
    </w:p>
    <w:p w14:paraId="693EB257">
      <w:pPr>
        <w:pStyle w:val="3"/>
        <w:bidi/>
        <w:spacing w:line="240" w:lineRule="auto"/>
        <w:rPr>
          <w:rFonts w:ascii="Simplified Arabic" w:hAnsi="Simplified Arabic" w:cs="Simplified Arabic"/>
          <w:color w:val="auto"/>
          <w:sz w:val="24"/>
          <w:szCs w:val="24"/>
          <w:rtl/>
        </w:rPr>
      </w:pPr>
    </w:p>
    <w:p w14:paraId="11A38CB7">
      <w:pPr>
        <w:pStyle w:val="3"/>
        <w:bidi/>
        <w:rPr>
          <w:rFonts w:ascii="Simplified Arabic" w:hAnsi="Simplified Arabic" w:cs="Simplified Arabic"/>
          <w:color w:val="000000" w:themeColor="text1"/>
          <w14:textFill>
            <w14:solidFill>
              <w14:schemeClr w14:val="tx1"/>
            </w14:solidFill>
          </w14:textFill>
        </w:rPr>
      </w:pPr>
      <w:r>
        <w:rPr>
          <w:rFonts w:ascii="Simplified Arabic" w:hAnsi="Simplified Arabic" w:cs="Simplified Arabic"/>
          <w:color w:val="000000" w:themeColor="text1"/>
          <w:rtl/>
          <w14:textFill>
            <w14:solidFill>
              <w14:schemeClr w14:val="tx1"/>
            </w14:solidFill>
          </w14:textFill>
        </w:rPr>
        <w:t>عاشراً: المنهجية وإجراءات البحث</w:t>
      </w:r>
    </w:p>
    <w:p w14:paraId="7313B5A4">
      <w:pPr>
        <w:pStyle w:val="4"/>
        <w:bidi/>
        <w:rPr>
          <w:rFonts w:ascii="Simplified Arabic" w:hAnsi="Simplified Arabic" w:cs="Simplified Arabic"/>
        </w:rPr>
      </w:pPr>
      <w:r>
        <w:rPr>
          <w:rFonts w:ascii="Simplified Arabic" w:hAnsi="Simplified Arabic" w:cs="Simplified Arabic"/>
          <w:rtl/>
        </w:rPr>
        <w:t>أولاً: مدخل البحث وتصميمه</w:t>
      </w:r>
    </w:p>
    <w:p w14:paraId="66A9948A">
      <w:pPr>
        <w:pStyle w:val="10"/>
        <w:bidi/>
        <w:rPr>
          <w:rFonts w:ascii="Simplified Arabic" w:hAnsi="Simplified Arabic" w:cs="Simplified Arabic"/>
        </w:rPr>
      </w:pPr>
      <w:r>
        <w:rPr>
          <w:rFonts w:ascii="Simplified Arabic" w:hAnsi="Simplified Arabic" w:cs="Simplified Arabic"/>
          <w:rtl/>
        </w:rPr>
        <w:t>اعتمدت الدراسة مقاربة نوعية نقدية ضمن البراديغم النقدي–التحويلي</w:t>
      </w:r>
      <w:r>
        <w:rPr>
          <w:rFonts w:ascii="Simplified Arabic" w:hAnsi="Simplified Arabic" w:cs="Simplified Arabic"/>
        </w:rPr>
        <w:t xml:space="preserve"> (Denzin &amp; Lincoln, 2018, p. 57)</w:t>
      </w:r>
      <w:r>
        <w:rPr>
          <w:rFonts w:ascii="Simplified Arabic" w:hAnsi="Simplified Arabic" w:cs="Simplified Arabic"/>
          <w:rtl/>
        </w:rPr>
        <w:t>، لأن الهدف لا يقتصر على وصف واقع التعليم تحت الإبادة، بل يتعدّاه إلى تفكيك البنى الاستعمارية التي تنتج هذا الواقع وتحليل تمثلاته في خطاب الفاعلين التعليميين. تم تبني تصميم «دراسة الحالة المتعددة» الذي يتيح مقارنة حالتي غزة والقدس ضمن بنية استعمارية واحدة، مع مراعاة خصوصية كل حالة من حيث إيقاع العنف وأدواته</w:t>
      </w:r>
      <w:r>
        <w:rPr>
          <w:rFonts w:ascii="Simplified Arabic" w:hAnsi="Simplified Arabic" w:cs="Simplified Arabic"/>
        </w:rPr>
        <w:t xml:space="preserve"> (Yin, 2018, pp. 15–17).</w:t>
      </w:r>
    </w:p>
    <w:p w14:paraId="737F0FFB">
      <w:pPr>
        <w:pStyle w:val="4"/>
        <w:bidi/>
        <w:rPr>
          <w:rFonts w:ascii="Simplified Arabic" w:hAnsi="Simplified Arabic" w:cs="Simplified Arabic"/>
        </w:rPr>
      </w:pPr>
      <w:r>
        <w:rPr>
          <w:rFonts w:ascii="Simplified Arabic" w:hAnsi="Simplified Arabic" w:cs="Simplified Arabic"/>
          <w:rtl/>
        </w:rPr>
        <w:t>ثانياً: منهج تحليل خطاب الوجود</w:t>
      </w:r>
      <w:r>
        <w:rPr>
          <w:rFonts w:ascii="Simplified Arabic" w:hAnsi="Simplified Arabic" w:cs="Simplified Arabic"/>
        </w:rPr>
        <w:t xml:space="preserve"> (Existence Discourse Analysis – EDA)</w:t>
      </w:r>
    </w:p>
    <w:p w14:paraId="2878D220">
      <w:pPr>
        <w:pStyle w:val="10"/>
        <w:bidi/>
        <w:rPr>
          <w:rFonts w:ascii="Simplified Arabic" w:hAnsi="Simplified Arabic" w:cs="Simplified Arabic"/>
        </w:rPr>
      </w:pPr>
      <w:r>
        <w:rPr>
          <w:rFonts w:ascii="Simplified Arabic" w:hAnsi="Simplified Arabic" w:cs="Simplified Arabic"/>
          <w:rtl/>
        </w:rPr>
        <w:t>طوّرت الدراسة إطاراً تحليلياً خاصاً هو «تحليل خطاب الوجود</w:t>
      </w:r>
      <w:r>
        <w:rPr>
          <w:rFonts w:ascii="Simplified Arabic" w:hAnsi="Simplified Arabic" w:cs="Simplified Arabic"/>
        </w:rPr>
        <w:t>» (EDA)</w:t>
      </w:r>
      <w:r>
        <w:rPr>
          <w:rFonts w:ascii="Simplified Arabic" w:hAnsi="Simplified Arabic" w:cs="Simplified Arabic"/>
          <w:rtl/>
        </w:rPr>
        <w:t>، بالاستناد إلى تقاطعات بين التحليل النقدي للخطاب</w:t>
      </w:r>
      <w:r>
        <w:rPr>
          <w:rFonts w:ascii="Simplified Arabic" w:hAnsi="Simplified Arabic" w:cs="Simplified Arabic"/>
        </w:rPr>
        <w:t xml:space="preserve"> (Fairclough, 1995, p. 2)</w:t>
      </w:r>
      <w:r>
        <w:rPr>
          <w:rFonts w:ascii="Simplified Arabic" w:hAnsi="Simplified Arabic" w:cs="Simplified Arabic"/>
          <w:rtl/>
        </w:rPr>
        <w:t>، الفينومينولوجيا الوجودية</w:t>
      </w:r>
      <w:r>
        <w:rPr>
          <w:rFonts w:ascii="Simplified Arabic" w:hAnsi="Simplified Arabic" w:cs="Simplified Arabic"/>
        </w:rPr>
        <w:t xml:space="preserve"> (Heidegger, 1962, p. 32)</w:t>
      </w:r>
      <w:r>
        <w:rPr>
          <w:rFonts w:ascii="Simplified Arabic" w:hAnsi="Simplified Arabic" w:cs="Simplified Arabic"/>
          <w:rtl/>
        </w:rPr>
        <w:t>، ونظرية الأمن الوجودي</w:t>
      </w:r>
      <w:r>
        <w:rPr>
          <w:rFonts w:ascii="Simplified Arabic" w:hAnsi="Simplified Arabic" w:cs="Simplified Arabic"/>
        </w:rPr>
        <w:t xml:space="preserve"> (Giddens, 1991, p. 92; Mitzen, 2006, p. 342).</w:t>
      </w:r>
      <w:r>
        <w:rPr>
          <w:rFonts w:ascii="Simplified Arabic" w:hAnsi="Simplified Arabic" w:cs="Simplified Arabic"/>
        </w:rPr>
        <w:br w:type="textWrapping"/>
      </w:r>
      <w:r>
        <w:rPr>
          <w:rFonts w:ascii="Simplified Arabic" w:hAnsi="Simplified Arabic" w:cs="Simplified Arabic"/>
          <w:rtl/>
        </w:rPr>
        <w:t>يركّز هذا المنهج على ثلاثة مستويات مترابطة</w:t>
      </w:r>
      <w:r>
        <w:rPr>
          <w:rFonts w:ascii="Simplified Arabic" w:hAnsi="Simplified Arabic" w:cs="Simplified Arabic"/>
        </w:rPr>
        <w:t>:</w:t>
      </w:r>
    </w:p>
    <w:p w14:paraId="2319A0E9">
      <w:pPr>
        <w:numPr>
          <w:ilvl w:val="0"/>
          <w:numId w:val="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اللغة اليومية التي يصف بها الفاعلون تجربتهم مع التعليم تحت القصف أو الأسرلة</w:t>
      </w:r>
      <w:r>
        <w:rPr>
          <w:rFonts w:ascii="Simplified Arabic" w:hAnsi="Simplified Arabic" w:cs="Simplified Arabic"/>
        </w:rPr>
        <w:t>.</w:t>
      </w:r>
    </w:p>
    <w:p w14:paraId="1E933AD4">
      <w:pPr>
        <w:numPr>
          <w:ilvl w:val="0"/>
          <w:numId w:val="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السرديات التي ينتجونها حول الذات، والجامعة، والهوية، والمستقبل</w:t>
      </w:r>
      <w:r>
        <w:rPr>
          <w:rFonts w:ascii="Simplified Arabic" w:hAnsi="Simplified Arabic" w:cs="Simplified Arabic"/>
        </w:rPr>
        <w:t>.</w:t>
      </w:r>
    </w:p>
    <w:p w14:paraId="7347B832">
      <w:pPr>
        <w:numPr>
          <w:ilvl w:val="0"/>
          <w:numId w:val="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البنى الاستعمارية والمعرفية التي تنعكس في هذه السرديات أو تُقاوَم من خلالها</w:t>
      </w:r>
      <w:r>
        <w:rPr>
          <w:rFonts w:ascii="Simplified Arabic" w:hAnsi="Simplified Arabic" w:cs="Simplified Arabic"/>
        </w:rPr>
        <w:t>.</w:t>
      </w:r>
    </w:p>
    <w:p w14:paraId="1D26EA50">
      <w:pPr>
        <w:pStyle w:val="4"/>
        <w:bidi/>
        <w:rPr>
          <w:rFonts w:ascii="Simplified Arabic" w:hAnsi="Simplified Arabic" w:cs="Simplified Arabic"/>
        </w:rPr>
      </w:pPr>
      <w:r>
        <w:rPr>
          <w:rFonts w:ascii="Simplified Arabic" w:hAnsi="Simplified Arabic" w:cs="Simplified Arabic"/>
          <w:rtl/>
        </w:rPr>
        <w:t>ثالثاً: مجتمع الدراسة والعينة</w:t>
      </w:r>
    </w:p>
    <w:p w14:paraId="6C2AD300">
      <w:pPr>
        <w:pStyle w:val="10"/>
        <w:bidi/>
        <w:rPr>
          <w:rFonts w:ascii="Simplified Arabic" w:hAnsi="Simplified Arabic" w:cs="Simplified Arabic"/>
        </w:rPr>
      </w:pPr>
      <w:r>
        <w:rPr>
          <w:rFonts w:ascii="Simplified Arabic" w:hAnsi="Simplified Arabic" w:cs="Simplified Arabic"/>
          <w:rtl/>
        </w:rPr>
        <w:t>استند البحث إلى مجتمع من الفاعلين التعليميين الفلسطينيين الذين اختبروا التعليم تحت القصف المباشر أو تحت سياسات الأسرلة. تم اختيار عينة قصدية مكوّنة من 22 مشاركاً: 12 من قطاع غزة و10 من مدينة القدس، تضم أكاديميين، معلمين، وطلبة جامعيين ومدرسيين. يعتمد اختيار العينة القصدية على مبدأ «غنى المعلومات» لا على التمثيل الإحصائي</w:t>
      </w:r>
      <w:r>
        <w:rPr>
          <w:rFonts w:ascii="Simplified Arabic" w:hAnsi="Simplified Arabic" w:cs="Simplified Arabic"/>
        </w:rPr>
        <w:t xml:space="preserve"> (Patton, 2015, p. 53). </w:t>
      </w:r>
      <w:r>
        <w:rPr>
          <w:rFonts w:ascii="Simplified Arabic" w:hAnsi="Simplified Arabic" w:cs="Simplified Arabic"/>
          <w:rtl/>
        </w:rPr>
        <w:t>وضبط حجم العينة استند إلى أدبيات «تشبّع البيانات» التي تشير إلى أن ما بين 15 و30 مقابلة معمقة كافية عادةً للوصول إلى تشبّع معقول</w:t>
      </w:r>
      <w:r>
        <w:rPr>
          <w:rFonts w:ascii="Simplified Arabic" w:hAnsi="Simplified Arabic" w:cs="Simplified Arabic"/>
        </w:rPr>
        <w:t xml:space="preserve"> (Guest et al., 2006, p. 61).</w:t>
      </w:r>
    </w:p>
    <w:p w14:paraId="0B9980BB">
      <w:pPr>
        <w:pStyle w:val="4"/>
        <w:bidi/>
        <w:rPr>
          <w:rFonts w:ascii="Simplified Arabic" w:hAnsi="Simplified Arabic" w:cs="Simplified Arabic"/>
        </w:rPr>
      </w:pPr>
      <w:r>
        <w:rPr>
          <w:rFonts w:ascii="Simplified Arabic" w:hAnsi="Simplified Arabic" w:cs="Simplified Arabic"/>
          <w:rtl/>
        </w:rPr>
        <w:t>رابعاً: أدوات جمع البيانات</w:t>
      </w:r>
    </w:p>
    <w:p w14:paraId="6FD2B7FC">
      <w:pPr>
        <w:numPr>
          <w:ilvl w:val="0"/>
          <w:numId w:val="3"/>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المقابلات المعمقة شبه المنظمة</w:t>
      </w:r>
      <w:r>
        <w:rPr>
          <w:rFonts w:ascii="Simplified Arabic" w:hAnsi="Simplified Arabic" w:cs="Simplified Arabic"/>
        </w:rPr>
        <w:t xml:space="preserve">: </w:t>
      </w:r>
      <w:r>
        <w:rPr>
          <w:rFonts w:ascii="Simplified Arabic" w:hAnsi="Simplified Arabic" w:cs="Simplified Arabic"/>
          <w:rtl/>
        </w:rPr>
        <w:t>أُجريت 22 مقابلة نصف مهيكلة تراوحت مدتها بين 60 و90 دقيقة، عبر وسائل اتصال آمنة. ركّزت الأسئلة على تجربة التعليم تحت القصف أو المناهج المفروضة، وأثر ذلك على الهوية والمستقبل</w:t>
      </w:r>
      <w:r>
        <w:rPr>
          <w:rFonts w:ascii="Simplified Arabic" w:hAnsi="Simplified Arabic" w:cs="Simplified Arabic"/>
        </w:rPr>
        <w:t>.</w:t>
      </w:r>
    </w:p>
    <w:p w14:paraId="3A3934A0">
      <w:pPr>
        <w:numPr>
          <w:ilvl w:val="0"/>
          <w:numId w:val="3"/>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الوثائق والتقارير الدولية</w:t>
      </w:r>
      <w:r>
        <w:rPr>
          <w:rFonts w:ascii="Simplified Arabic" w:hAnsi="Simplified Arabic" w:cs="Simplified Arabic"/>
        </w:rPr>
        <w:t xml:space="preserve">: </w:t>
      </w:r>
      <w:r>
        <w:rPr>
          <w:rFonts w:ascii="Simplified Arabic" w:hAnsi="Simplified Arabic" w:cs="Simplified Arabic"/>
          <w:rtl/>
        </w:rPr>
        <w:t>شملت تقارير اليونسكو، الأوتشا، الأونروا، ومنظمات حقوقية</w:t>
      </w:r>
      <w:r>
        <w:rPr>
          <w:rFonts w:ascii="Simplified Arabic" w:hAnsi="Simplified Arabic" w:cs="Simplified Arabic"/>
        </w:rPr>
        <w:t xml:space="preserve"> (UNESCO, 2024, p. 4; OCHA, 2024, p. 3; UNRWA, 2024, p. 7; Scholars at Risk, 2024, p. 6).</w:t>
      </w:r>
    </w:p>
    <w:p w14:paraId="0F7EF85D">
      <w:pPr>
        <w:numPr>
          <w:ilvl w:val="0"/>
          <w:numId w:val="3"/>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المحتوى الرقمي والمواد البصرية</w:t>
      </w:r>
      <w:r>
        <w:rPr>
          <w:rFonts w:ascii="Simplified Arabic" w:hAnsi="Simplified Arabic" w:cs="Simplified Arabic"/>
        </w:rPr>
        <w:t xml:space="preserve">: </w:t>
      </w:r>
      <w:r>
        <w:rPr>
          <w:rFonts w:ascii="Simplified Arabic" w:hAnsi="Simplified Arabic" w:cs="Simplified Arabic"/>
          <w:rtl/>
        </w:rPr>
        <w:t>تم تحليل مقاطع فيديو وصور أرشيفية ومنشورات توثيقية لجامعات ومدارس متضررة</w:t>
      </w:r>
      <w:r>
        <w:rPr>
          <w:rFonts w:ascii="Simplified Arabic" w:hAnsi="Simplified Arabic" w:cs="Simplified Arabic"/>
        </w:rPr>
        <w:t xml:space="preserve"> (Euro-Med, 2024, p. 5; Human Rights Watch, 2024, p. 10).</w:t>
      </w:r>
    </w:p>
    <w:p w14:paraId="5DC64C29">
      <w:pPr>
        <w:pStyle w:val="4"/>
        <w:bidi/>
        <w:rPr>
          <w:rFonts w:ascii="Simplified Arabic" w:hAnsi="Simplified Arabic" w:cs="Simplified Arabic"/>
        </w:rPr>
      </w:pPr>
      <w:r>
        <w:rPr>
          <w:rFonts w:ascii="Simplified Arabic" w:hAnsi="Simplified Arabic" w:cs="Simplified Arabic"/>
          <w:rtl/>
        </w:rPr>
        <w:t>خامساً: إجراءات التحليل</w:t>
      </w:r>
    </w:p>
    <w:p w14:paraId="19C39DC2">
      <w:pPr>
        <w:pStyle w:val="10"/>
        <w:bidi/>
        <w:rPr>
          <w:rFonts w:ascii="Simplified Arabic" w:hAnsi="Simplified Arabic" w:cs="Simplified Arabic"/>
        </w:rPr>
      </w:pPr>
      <w:r>
        <w:rPr>
          <w:rFonts w:ascii="Simplified Arabic" w:hAnsi="Simplified Arabic" w:cs="Simplified Arabic"/>
          <w:rtl/>
        </w:rPr>
        <w:t>مرّ التحليل بأربع مراحل مترابطة</w:t>
      </w:r>
      <w:r>
        <w:rPr>
          <w:rFonts w:ascii="Simplified Arabic" w:hAnsi="Simplified Arabic" w:cs="Simplified Arabic"/>
        </w:rPr>
        <w:t>:</w:t>
      </w:r>
    </w:p>
    <w:p w14:paraId="3A86D20B">
      <w:pPr>
        <w:numPr>
          <w:ilvl w:val="0"/>
          <w:numId w:val="4"/>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الترميز الأولي المفتوح</w:t>
      </w:r>
      <w:r>
        <w:rPr>
          <w:rFonts w:ascii="Simplified Arabic" w:hAnsi="Simplified Arabic" w:cs="Simplified Arabic"/>
        </w:rPr>
        <w:t xml:space="preserve">: </w:t>
      </w:r>
      <w:r>
        <w:rPr>
          <w:rFonts w:ascii="Simplified Arabic" w:hAnsi="Simplified Arabic" w:cs="Simplified Arabic"/>
          <w:rtl/>
        </w:rPr>
        <w:t>تفريغ المقابلات واستخراج العبارات الدالة دون فرض فئات مسبقة</w:t>
      </w:r>
      <w:r>
        <w:rPr>
          <w:rFonts w:ascii="Simplified Arabic" w:hAnsi="Simplified Arabic" w:cs="Simplified Arabic"/>
        </w:rPr>
        <w:t xml:space="preserve"> (Denzin &amp; Lincoln, 2018, p. 57).</w:t>
      </w:r>
    </w:p>
    <w:p w14:paraId="59E4193A">
      <w:pPr>
        <w:numPr>
          <w:ilvl w:val="0"/>
          <w:numId w:val="4"/>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بناء الفئات الموضوعية</w:t>
      </w:r>
      <w:r>
        <w:rPr>
          <w:rFonts w:ascii="Simplified Arabic" w:hAnsi="Simplified Arabic" w:cs="Simplified Arabic"/>
        </w:rPr>
        <w:t xml:space="preserve">: </w:t>
      </w:r>
      <w:r>
        <w:rPr>
          <w:rFonts w:ascii="Simplified Arabic" w:hAnsi="Simplified Arabic" w:cs="Simplified Arabic"/>
          <w:rtl/>
        </w:rPr>
        <w:t>تجميع الشفرات في محاور مثل «تفكك الروتين»، «فقدان المستقبل»، «المناهج كأداة محو»، «الجامعة الشاهدة</w:t>
      </w:r>
      <w:r>
        <w:rPr>
          <w:rFonts w:ascii="Simplified Arabic" w:hAnsi="Simplified Arabic" w:cs="Simplified Arabic"/>
        </w:rPr>
        <w:t>».</w:t>
      </w:r>
    </w:p>
    <w:p w14:paraId="0C67048D">
      <w:pPr>
        <w:numPr>
          <w:ilvl w:val="0"/>
          <w:numId w:val="4"/>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الربط بالنظرية</w:t>
      </w:r>
      <w:r>
        <w:rPr>
          <w:rFonts w:ascii="Simplified Arabic" w:hAnsi="Simplified Arabic" w:cs="Simplified Arabic"/>
        </w:rPr>
        <w:t xml:space="preserve">: </w:t>
      </w:r>
      <w:r>
        <w:rPr>
          <w:rFonts w:ascii="Simplified Arabic" w:hAnsi="Simplified Arabic" w:cs="Simplified Arabic"/>
          <w:rtl/>
        </w:rPr>
        <w:t>إعادة قراءة الفئات في ضوء الإطار النظري</w:t>
      </w:r>
      <w:r>
        <w:rPr>
          <w:rFonts w:ascii="Simplified Arabic" w:hAnsi="Simplified Arabic" w:cs="Simplified Arabic"/>
        </w:rPr>
        <w:t xml:space="preserve"> (Wolfe, 2006, p. 396; Nixon, 2011, p. 6; Smith, 2012, p. 29).</w:t>
      </w:r>
    </w:p>
    <w:p w14:paraId="08CF83B3">
      <w:pPr>
        <w:numPr>
          <w:ilvl w:val="0"/>
          <w:numId w:val="4"/>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صياغة النموذج التفسيري</w:t>
      </w:r>
      <w:r>
        <w:rPr>
          <w:rFonts w:ascii="Simplified Arabic" w:hAnsi="Simplified Arabic" w:cs="Simplified Arabic"/>
        </w:rPr>
        <w:t xml:space="preserve">: </w:t>
      </w:r>
      <w:r>
        <w:rPr>
          <w:rFonts w:ascii="Simplified Arabic" w:hAnsi="Simplified Arabic" w:cs="Simplified Arabic"/>
          <w:rtl/>
        </w:rPr>
        <w:t>تركيب النتائج في نموذج يوضح الترابط بين إبادة التعليم، تآكل الأمن الوجودي، الصمود الأنطولوجي، والجامعة الشاهدة</w:t>
      </w:r>
      <w:r>
        <w:rPr>
          <w:rFonts w:ascii="Simplified Arabic" w:hAnsi="Simplified Arabic" w:cs="Simplified Arabic"/>
        </w:rPr>
        <w:t>.</w:t>
      </w:r>
    </w:p>
    <w:p w14:paraId="10A14FEE">
      <w:pPr>
        <w:pStyle w:val="4"/>
        <w:bidi/>
        <w:rPr>
          <w:rFonts w:ascii="Simplified Arabic" w:hAnsi="Simplified Arabic" w:cs="Simplified Arabic"/>
        </w:rPr>
      </w:pPr>
      <w:r>
        <w:rPr>
          <w:rFonts w:ascii="Simplified Arabic" w:hAnsi="Simplified Arabic" w:cs="Simplified Arabic"/>
          <w:rtl/>
        </w:rPr>
        <w:t>سادساً: الصدقية والموثوقية</w:t>
      </w:r>
    </w:p>
    <w:p w14:paraId="6DEDE3C9">
      <w:pPr>
        <w:numPr>
          <w:ilvl w:val="0"/>
          <w:numId w:val="5"/>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التثليث</w:t>
      </w:r>
      <w:r>
        <w:rPr>
          <w:rStyle w:val="11"/>
          <w:rFonts w:ascii="Simplified Arabic" w:hAnsi="Simplified Arabic" w:cs="Simplified Arabic"/>
        </w:rPr>
        <w:t xml:space="preserve"> (Triangulation)</w:t>
      </w:r>
      <w:r>
        <w:rPr>
          <w:rFonts w:ascii="Simplified Arabic" w:hAnsi="Simplified Arabic" w:cs="Simplified Arabic"/>
        </w:rPr>
        <w:t xml:space="preserve"> </w:t>
      </w:r>
      <w:r>
        <w:rPr>
          <w:rFonts w:ascii="Simplified Arabic" w:hAnsi="Simplified Arabic" w:cs="Simplified Arabic"/>
          <w:rtl/>
        </w:rPr>
        <w:t>عبر تنويع مصادر البيانات</w:t>
      </w:r>
      <w:r>
        <w:rPr>
          <w:rFonts w:ascii="Simplified Arabic" w:hAnsi="Simplified Arabic" w:cs="Simplified Arabic"/>
        </w:rPr>
        <w:t xml:space="preserve"> (Denzin, 1978, p. 291).</w:t>
      </w:r>
    </w:p>
    <w:p w14:paraId="76262404">
      <w:pPr>
        <w:numPr>
          <w:ilvl w:val="0"/>
          <w:numId w:val="5"/>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مراجعة المشاركين</w:t>
      </w:r>
      <w:r>
        <w:rPr>
          <w:rStyle w:val="11"/>
          <w:rFonts w:ascii="Simplified Arabic" w:hAnsi="Simplified Arabic" w:cs="Simplified Arabic"/>
        </w:rPr>
        <w:t xml:space="preserve"> (Member Checking)</w:t>
      </w:r>
      <w:r>
        <w:rPr>
          <w:rFonts w:ascii="Simplified Arabic" w:hAnsi="Simplified Arabic" w:cs="Simplified Arabic"/>
        </w:rPr>
        <w:t xml:space="preserve"> </w:t>
      </w:r>
      <w:r>
        <w:rPr>
          <w:rFonts w:ascii="Simplified Arabic" w:hAnsi="Simplified Arabic" w:cs="Simplified Arabic"/>
          <w:rtl/>
        </w:rPr>
        <w:t>بمشاركة خلاصات أولية معهم</w:t>
      </w:r>
      <w:r>
        <w:rPr>
          <w:rFonts w:ascii="Simplified Arabic" w:hAnsi="Simplified Arabic" w:cs="Simplified Arabic"/>
        </w:rPr>
        <w:t xml:space="preserve"> (Lincoln &amp; Guba, 1985, p. 314).</w:t>
      </w:r>
    </w:p>
    <w:p w14:paraId="2ABD7370">
      <w:pPr>
        <w:numPr>
          <w:ilvl w:val="0"/>
          <w:numId w:val="5"/>
        </w:numPr>
        <w:bidi/>
        <w:spacing w:before="100" w:beforeAutospacing="1" w:after="100" w:afterAutospacing="1" w:line="240" w:lineRule="auto"/>
        <w:rPr>
          <w:rFonts w:ascii="Simplified Arabic" w:hAnsi="Simplified Arabic" w:cs="Simplified Arabic"/>
        </w:rPr>
      </w:pPr>
      <w:r>
        <w:rPr>
          <w:rStyle w:val="11"/>
          <w:rFonts w:ascii="Simplified Arabic" w:hAnsi="Simplified Arabic" w:cs="Simplified Arabic"/>
          <w:rtl/>
        </w:rPr>
        <w:t>الشفافية الإجرائية</w:t>
      </w:r>
      <w:r>
        <w:rPr>
          <w:rFonts w:ascii="Simplified Arabic" w:hAnsi="Simplified Arabic" w:cs="Simplified Arabic"/>
          <w:rtl/>
        </w:rPr>
        <w:t xml:space="preserve"> عبر توثيق خطوات الاختيار والتحليل</w:t>
      </w:r>
      <w:r>
        <w:rPr>
          <w:rFonts w:ascii="Simplified Arabic" w:hAnsi="Simplified Arabic" w:cs="Simplified Arabic"/>
        </w:rPr>
        <w:t xml:space="preserve"> (Yin, 2018, p. 88).</w:t>
      </w:r>
    </w:p>
    <w:p w14:paraId="3B72C990">
      <w:pPr>
        <w:pStyle w:val="4"/>
        <w:bidi/>
        <w:rPr>
          <w:rFonts w:ascii="Simplified Arabic" w:hAnsi="Simplified Arabic" w:cs="Simplified Arabic"/>
        </w:rPr>
      </w:pPr>
      <w:r>
        <w:rPr>
          <w:rFonts w:ascii="Simplified Arabic" w:hAnsi="Simplified Arabic" w:cs="Simplified Arabic"/>
          <w:rtl/>
        </w:rPr>
        <w:t>سابعاً: الاعتبارات الأخلاقية</w:t>
      </w:r>
    </w:p>
    <w:p w14:paraId="5CDDF7DB">
      <w:pPr>
        <w:pStyle w:val="10"/>
        <w:bidi/>
        <w:rPr>
          <w:rFonts w:ascii="Simplified Arabic" w:hAnsi="Simplified Arabic" w:cs="Simplified Arabic"/>
        </w:rPr>
      </w:pPr>
      <w:r>
        <w:rPr>
          <w:rFonts w:ascii="Simplified Arabic" w:hAnsi="Simplified Arabic" w:cs="Simplified Arabic"/>
          <w:rtl/>
        </w:rPr>
        <w:t>رُوعيت المبادئ الأخلاقية الأساسية: الموافقة المستنيرة، السرية وحماية الهوية، تجنّب إعادة تفعيل الصدمة، إتاحة حرية الانسحاب، ومراجعة الاقتباسات قبل النشر حيث أمكن</w:t>
      </w:r>
      <w:r>
        <w:rPr>
          <w:rFonts w:ascii="Simplified Arabic" w:hAnsi="Simplified Arabic" w:cs="Simplified Arabic"/>
        </w:rPr>
        <w:t>.</w:t>
      </w:r>
    </w:p>
    <w:p w14:paraId="41D7390B">
      <w:pPr>
        <w:bidi/>
        <w:spacing w:line="240" w:lineRule="auto"/>
        <w:rPr>
          <w:rFonts w:ascii="Simplified Arabic" w:hAnsi="Simplified Arabic" w:cs="Simplified Arabic"/>
          <w:sz w:val="24"/>
          <w:szCs w:val="24"/>
          <w:rtl/>
        </w:rPr>
      </w:pPr>
    </w:p>
    <w:p w14:paraId="560729A9">
      <w:pPr>
        <w:pStyle w:val="2"/>
        <w:bidi/>
        <w:spacing w:line="240" w:lineRule="auto"/>
        <w:rPr>
          <w:rFonts w:hint="cs" w:ascii="Simplified Arabic" w:hAnsi="Simplified Arabic" w:cs="Simplified Arabic"/>
          <w:color w:val="auto"/>
          <w:rtl/>
        </w:rPr>
      </w:pPr>
      <w:r>
        <w:rPr>
          <w:rFonts w:ascii="Simplified Arabic" w:hAnsi="Simplified Arabic" w:cs="Simplified Arabic"/>
          <w:color w:val="auto"/>
          <w:rtl/>
        </w:rPr>
        <w:t>النتائج والتحليل</w:t>
      </w:r>
    </w:p>
    <w:p w14:paraId="799965CA">
      <w:pPr>
        <w:bidi/>
        <w:rPr>
          <w:rFonts w:hint="cs"/>
          <w:rtl/>
        </w:rPr>
      </w:pPr>
    </w:p>
    <w:p w14:paraId="2B916E7E">
      <w:pPr>
        <w:bidi/>
        <w:rPr>
          <w:rFonts w:ascii="Simplified Arabic" w:hAnsi="Simplified Arabic" w:cs="Simplified Arabic"/>
          <w:sz w:val="24"/>
          <w:szCs w:val="24"/>
          <w:rtl/>
        </w:rPr>
      </w:pPr>
      <w:r>
        <w:rPr>
          <w:rFonts w:ascii="Simplified Arabic" w:hAnsi="Simplified Arabic" w:cs="Simplified Arabic"/>
          <w:sz w:val="24"/>
          <w:szCs w:val="24"/>
          <w:rtl/>
        </w:rPr>
        <w:t>قدّم هذا القسم عرضاً منظماً للنتائج الإمبريقية المستخلصة من بيانات غزة والقدس، وفقاً لمنهجية تحليل خطاب الوجود (</w:t>
      </w:r>
      <w:r>
        <w:rPr>
          <w:rFonts w:ascii="Simplified Arabic" w:hAnsi="Simplified Arabic" w:cs="Simplified Arabic"/>
          <w:sz w:val="24"/>
          <w:szCs w:val="24"/>
        </w:rPr>
        <w:t>EDA</w:t>
      </w:r>
      <w:r>
        <w:rPr>
          <w:rFonts w:ascii="Simplified Arabic" w:hAnsi="Simplified Arabic" w:cs="Simplified Arabic"/>
          <w:sz w:val="24"/>
          <w:szCs w:val="24"/>
          <w:rtl/>
        </w:rPr>
        <w:t>) الموصوفة في قسم المنهجية. وقد جرى ترتيب النتائج في شكل جداول تحليلية متسلسلة، بحيث يسبق كل جدول فقرة تمهيدية تربطه مباشرة بأحد أسئلة الدراسة، ويليه تعليق تحليلي قصير يفسّر دلالاته في ضوء الإطار النظري (الاستعمار الاستيطاني، الأمن الوجودي، العنف البطيء، السيادة المعرفية).</w:t>
      </w:r>
    </w:p>
    <w:p w14:paraId="46E74143">
      <w:pPr>
        <w:pStyle w:val="3"/>
        <w:tabs>
          <w:tab w:val="left" w:pos="3192"/>
        </w:tabs>
        <w:bidi/>
        <w:rPr>
          <w:rFonts w:ascii="Simplified Arabic" w:hAnsi="Simplified Arabic" w:cs="Simplified Arabic"/>
          <w:color w:val="auto"/>
        </w:rPr>
      </w:pPr>
      <w:r>
        <w:rPr>
          <w:rFonts w:ascii="Simplified Arabic" w:hAnsi="Simplified Arabic" w:cs="Simplified Arabic"/>
          <w:color w:val="auto"/>
          <w:rtl/>
        </w:rPr>
        <w:t>الخصائص الديموغرافية للعينة</w:t>
      </w:r>
      <w:r>
        <w:rPr>
          <w:rFonts w:ascii="Simplified Arabic" w:hAnsi="Simplified Arabic" w:cs="Simplified Arabic"/>
          <w:color w:val="auto"/>
          <w:rtl/>
        </w:rPr>
        <w:tab/>
      </w:r>
    </w:p>
    <w:p w14:paraId="2CB5AA16">
      <w:pPr>
        <w:pStyle w:val="10"/>
        <w:bidi/>
        <w:rPr>
          <w:rFonts w:ascii="Simplified Arabic" w:hAnsi="Simplified Arabic" w:cs="Simplified Arabic"/>
        </w:rPr>
      </w:pPr>
      <w:r>
        <w:rPr>
          <w:rStyle w:val="11"/>
          <w:rFonts w:ascii="Simplified Arabic" w:hAnsi="Simplified Arabic" w:cs="Simplified Arabic"/>
          <w:rtl/>
        </w:rPr>
        <w:t>قبل الانتقال إلى الإجابة عن أسئلة الدراسة، يعرض الجدول (1) الخصائص الديموغرافية للمشاركين الـ 85، لبيان تنوع العينة وتمثيلها للتجربة التعليمية تحت الإبادة</w:t>
      </w:r>
      <w:r>
        <w:rPr>
          <w:rStyle w:val="11"/>
          <w:rFonts w:ascii="Simplified Arabic" w:hAnsi="Simplified Arabic" w:cs="Simplified Arabic"/>
        </w:rPr>
        <w:t>.</w:t>
      </w:r>
    </w:p>
    <w:p w14:paraId="524F9A83">
      <w:pPr>
        <w:pStyle w:val="4"/>
        <w:bidi/>
        <w:rPr>
          <w:rFonts w:ascii="Simplified Arabic" w:hAnsi="Simplified Arabic" w:cs="Simplified Arabic"/>
          <w:rtl/>
        </w:rPr>
      </w:pPr>
      <w:r>
        <w:rPr>
          <w:rFonts w:ascii="Simplified Arabic" w:hAnsi="Simplified Arabic" w:cs="Simplified Arabic"/>
          <w:rtl/>
        </w:rPr>
        <w:t>الجدول (1): الخصائص الديموغرافية للمشاركين</w:t>
      </w:r>
      <w:r>
        <w:rPr>
          <w:rFonts w:ascii="Simplified Arabic" w:hAnsi="Simplified Arabic" w:cs="Simplified Arabic"/>
        </w:rPr>
        <w:t xml:space="preserve"> (N = 85)</w:t>
      </w:r>
    </w:p>
    <w:tbl>
      <w:tblPr>
        <w:tblStyle w:val="13"/>
        <w:tblpPr w:leftFromText="180" w:rightFromText="180" w:vertAnchor="text" w:horzAnchor="margin" w:tblpXSpec="right" w:tblpY="516"/>
        <w:tblW w:w="0" w:type="auto"/>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0"/>
        <w:gridCol w:w="1255"/>
        <w:gridCol w:w="1427"/>
        <w:gridCol w:w="1137"/>
        <w:gridCol w:w="1164"/>
      </w:tblGrid>
      <w:tr w14:paraId="3D7BEE6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6A2D13AB">
            <w:pPr>
              <w:bidi/>
              <w:spacing w:before="0"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val="0"/>
                <w:bCs w:val="0"/>
                <w:color w:val="77933C" w:themeColor="accent3" w:themeShade="BF"/>
                <w:rtl/>
              </w:rPr>
              <w:t>الإجمالي</w:t>
            </w:r>
            <w:r>
              <w:rPr>
                <w:rFonts w:ascii="Simplified Arabic" w:hAnsi="Simplified Arabic" w:cs="Simplified Arabic"/>
                <w:b w:val="0"/>
                <w:bCs w:val="0"/>
                <w:color w:val="77933C" w:themeColor="accent3" w:themeShade="BF"/>
              </w:rPr>
              <w:t xml:space="preserve"> (N = 85)</w:t>
            </w:r>
          </w:p>
        </w:tc>
        <w:tc>
          <w:tcPr>
            <w:tcW w:w="0" w:type="auto"/>
            <w:tcBorders>
              <w:top w:val="single" w:color="9BBB59" w:themeColor="accent3" w:sz="8" w:space="0"/>
              <w:bottom w:val="single" w:color="9BBB59" w:themeColor="accent3" w:sz="8" w:space="0"/>
              <w:right w:val="nil"/>
              <w:insideH w:val="single" w:sz="8" w:space="0"/>
              <w:insideV w:val="nil"/>
            </w:tcBorders>
          </w:tcPr>
          <w:p w14:paraId="2A162FA5">
            <w:pPr>
              <w:bidi/>
              <w:spacing w:before="0"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val="0"/>
                <w:bCs w:val="0"/>
                <w:color w:val="77933C" w:themeColor="accent3" w:themeShade="BF"/>
                <w:rtl/>
              </w:rPr>
              <w:t>غزة</w:t>
            </w:r>
            <w:r>
              <w:rPr>
                <w:rFonts w:ascii="Simplified Arabic" w:hAnsi="Simplified Arabic" w:cs="Simplified Arabic"/>
                <w:b w:val="0"/>
                <w:bCs w:val="0"/>
                <w:color w:val="77933C" w:themeColor="accent3" w:themeShade="BF"/>
              </w:rPr>
              <w:t xml:space="preserve"> (n = 45)</w:t>
            </w:r>
          </w:p>
        </w:tc>
        <w:tc>
          <w:tcPr>
            <w:tcW w:w="0" w:type="auto"/>
            <w:tcBorders>
              <w:top w:val="single" w:color="9BBB59" w:themeColor="accent3" w:sz="8" w:space="0"/>
              <w:bottom w:val="single" w:color="9BBB59" w:themeColor="accent3" w:sz="8" w:space="0"/>
              <w:right w:val="nil"/>
              <w:insideH w:val="single" w:sz="8" w:space="0"/>
              <w:insideV w:val="nil"/>
            </w:tcBorders>
          </w:tcPr>
          <w:p w14:paraId="196AE82B">
            <w:pPr>
              <w:bidi/>
              <w:spacing w:before="0"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val="0"/>
                <w:bCs w:val="0"/>
                <w:color w:val="77933C" w:themeColor="accent3" w:themeShade="BF"/>
                <w:rtl/>
              </w:rPr>
              <w:t>القدس</w:t>
            </w:r>
            <w:r>
              <w:rPr>
                <w:rFonts w:ascii="Simplified Arabic" w:hAnsi="Simplified Arabic" w:cs="Simplified Arabic"/>
                <w:b w:val="0"/>
                <w:bCs w:val="0"/>
                <w:color w:val="77933C" w:themeColor="accent3" w:themeShade="BF"/>
              </w:rPr>
              <w:t xml:space="preserve"> (n = 40)</w:t>
            </w:r>
          </w:p>
        </w:tc>
        <w:tc>
          <w:tcPr>
            <w:tcW w:w="0" w:type="auto"/>
            <w:tcBorders>
              <w:top w:val="single" w:color="9BBB59" w:themeColor="accent3" w:sz="8" w:space="0"/>
              <w:bottom w:val="single" w:color="9BBB59" w:themeColor="accent3" w:sz="8" w:space="0"/>
              <w:right w:val="nil"/>
              <w:insideH w:val="single" w:sz="8" w:space="0"/>
              <w:insideV w:val="nil"/>
            </w:tcBorders>
          </w:tcPr>
          <w:p w14:paraId="64FCDFA0">
            <w:pPr>
              <w:tabs>
                <w:tab w:val="left" w:pos="816"/>
              </w:tabs>
              <w:bidi/>
              <w:spacing w:before="0"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val="0"/>
                <w:bCs w:val="0"/>
                <w:color w:val="77933C" w:themeColor="accent3" w:themeShade="BF"/>
                <w:rtl/>
              </w:rPr>
              <w:t>الفئة</w:t>
            </w:r>
            <w:r>
              <w:rPr>
                <w:rFonts w:ascii="Simplified Arabic" w:hAnsi="Simplified Arabic" w:cs="Simplified Arabic"/>
                <w:b w:val="0"/>
                <w:bCs w:val="0"/>
                <w:color w:val="77933C" w:themeColor="accent3" w:themeShade="BF"/>
                <w:rtl/>
              </w:rPr>
              <w:tab/>
            </w:r>
          </w:p>
        </w:tc>
        <w:tc>
          <w:tcPr>
            <w:tcW w:w="0" w:type="auto"/>
            <w:tcBorders>
              <w:top w:val="single" w:color="9BBB59" w:themeColor="accent3" w:sz="8" w:space="0"/>
              <w:bottom w:val="single" w:color="9BBB59" w:themeColor="accent3" w:sz="8" w:space="0"/>
              <w:right w:val="nil"/>
              <w:insideH w:val="single" w:sz="8" w:space="0"/>
              <w:insideV w:val="nil"/>
            </w:tcBorders>
          </w:tcPr>
          <w:p w14:paraId="4EF67F32">
            <w:pPr>
              <w:bidi/>
              <w:spacing w:before="0"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val="0"/>
                <w:bCs w:val="0"/>
                <w:color w:val="77933C" w:themeColor="accent3" w:themeShade="BF"/>
                <w:rtl/>
              </w:rPr>
              <w:t>المتغير</w:t>
            </w:r>
          </w:p>
        </w:tc>
      </w:tr>
      <w:tr w14:paraId="398E7313">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8834486">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38 (44.7%)</w:t>
            </w:r>
          </w:p>
        </w:tc>
        <w:tc>
          <w:tcPr>
            <w:tcW w:w="0" w:type="auto"/>
            <w:tcBorders>
              <w:right w:val="nil"/>
              <w:insideV w:val="nil"/>
            </w:tcBorders>
            <w:shd w:val="clear" w:color="auto" w:fill="E6EED5" w:themeFill="accent3" w:themeFillTint="3F"/>
          </w:tcPr>
          <w:p w14:paraId="4477E025">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20 (44.4%)</w:t>
            </w:r>
          </w:p>
        </w:tc>
        <w:tc>
          <w:tcPr>
            <w:tcW w:w="0" w:type="auto"/>
            <w:tcBorders>
              <w:right w:val="nil"/>
              <w:insideV w:val="nil"/>
            </w:tcBorders>
            <w:shd w:val="clear" w:color="auto" w:fill="E6EED5" w:themeFill="accent3" w:themeFillTint="3F"/>
          </w:tcPr>
          <w:p w14:paraId="4733C42F">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18 (45.0%)</w:t>
            </w:r>
          </w:p>
        </w:tc>
        <w:tc>
          <w:tcPr>
            <w:tcW w:w="0" w:type="auto"/>
            <w:tcBorders>
              <w:right w:val="nil"/>
              <w:insideV w:val="nil"/>
            </w:tcBorders>
            <w:shd w:val="clear" w:color="auto" w:fill="E6EED5" w:themeFill="accent3" w:themeFillTint="3F"/>
          </w:tcPr>
          <w:p w14:paraId="2996B79E">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ذكر</w:t>
            </w:r>
          </w:p>
        </w:tc>
        <w:tc>
          <w:tcPr>
            <w:tcW w:w="0" w:type="auto"/>
            <w:tcBorders>
              <w:right w:val="nil"/>
              <w:insideV w:val="nil"/>
            </w:tcBorders>
            <w:shd w:val="clear" w:color="auto" w:fill="E6EED5" w:themeFill="accent3" w:themeFillTint="3F"/>
          </w:tcPr>
          <w:p w14:paraId="41CD3C3C">
            <w:pPr>
              <w:bidi/>
              <w:spacing w:after="0" w:line="240" w:lineRule="auto"/>
              <w:rPr>
                <w:rFonts w:ascii="Simplified Arabic" w:hAnsi="Simplified Arabic" w:cs="Simplified Arabic"/>
                <w:color w:val="77933C" w:themeColor="accent3" w:themeShade="BF"/>
                <w:sz w:val="24"/>
                <w:szCs w:val="24"/>
              </w:rPr>
            </w:pPr>
            <w:r>
              <w:rPr>
                <w:rStyle w:val="11"/>
                <w:rFonts w:ascii="Simplified Arabic" w:hAnsi="Simplified Arabic" w:cs="Simplified Arabic"/>
                <w:color w:val="77933C" w:themeColor="accent3" w:themeShade="BF"/>
                <w:rtl/>
              </w:rPr>
              <w:t>الجنس</w:t>
            </w:r>
          </w:p>
        </w:tc>
      </w:tr>
      <w:tr w14:paraId="2DA4088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C89955C">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47 (55.3%)</w:t>
            </w:r>
          </w:p>
        </w:tc>
        <w:tc>
          <w:tcPr>
            <w:tcW w:w="0" w:type="auto"/>
          </w:tcPr>
          <w:p w14:paraId="7D82AD91">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25 (55.6%)</w:t>
            </w:r>
          </w:p>
        </w:tc>
        <w:tc>
          <w:tcPr>
            <w:tcW w:w="0" w:type="auto"/>
          </w:tcPr>
          <w:p w14:paraId="3DC0B322">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22 (55.0%)</w:t>
            </w:r>
          </w:p>
        </w:tc>
        <w:tc>
          <w:tcPr>
            <w:tcW w:w="0" w:type="auto"/>
          </w:tcPr>
          <w:p w14:paraId="64C08E85">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أنثى</w:t>
            </w:r>
          </w:p>
        </w:tc>
        <w:tc>
          <w:tcPr>
            <w:tcW w:w="0" w:type="auto"/>
          </w:tcPr>
          <w:p w14:paraId="77A1762B">
            <w:pPr>
              <w:bidi/>
              <w:spacing w:after="0" w:line="240" w:lineRule="auto"/>
              <w:rPr>
                <w:rFonts w:ascii="Simplified Arabic" w:hAnsi="Simplified Arabic" w:cs="Simplified Arabic"/>
                <w:color w:val="77933C" w:themeColor="accent3" w:themeShade="BF"/>
                <w:sz w:val="24"/>
                <w:szCs w:val="24"/>
              </w:rPr>
            </w:pPr>
          </w:p>
        </w:tc>
      </w:tr>
      <w:tr w14:paraId="27F45E0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9847648">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20 (23.5%)</w:t>
            </w:r>
          </w:p>
        </w:tc>
        <w:tc>
          <w:tcPr>
            <w:tcW w:w="0" w:type="auto"/>
            <w:tcBorders>
              <w:right w:val="nil"/>
              <w:insideV w:val="nil"/>
            </w:tcBorders>
            <w:shd w:val="clear" w:color="auto" w:fill="E6EED5" w:themeFill="accent3" w:themeFillTint="3F"/>
          </w:tcPr>
          <w:p w14:paraId="70B1A2A0">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8 (17.8%)</w:t>
            </w:r>
          </w:p>
        </w:tc>
        <w:tc>
          <w:tcPr>
            <w:tcW w:w="0" w:type="auto"/>
            <w:tcBorders>
              <w:right w:val="nil"/>
              <w:insideV w:val="nil"/>
            </w:tcBorders>
            <w:shd w:val="clear" w:color="auto" w:fill="E6EED5" w:themeFill="accent3" w:themeFillTint="3F"/>
          </w:tcPr>
          <w:p w14:paraId="55C57A83">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12 (30.0%)</w:t>
            </w:r>
          </w:p>
        </w:tc>
        <w:tc>
          <w:tcPr>
            <w:tcW w:w="0" w:type="auto"/>
            <w:tcBorders>
              <w:right w:val="nil"/>
              <w:insideV w:val="nil"/>
            </w:tcBorders>
            <w:shd w:val="clear" w:color="auto" w:fill="E6EED5" w:themeFill="accent3" w:themeFillTint="3F"/>
          </w:tcPr>
          <w:p w14:paraId="098AFD23">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 xml:space="preserve">18–22 </w:t>
            </w:r>
            <w:r>
              <w:rPr>
                <w:rFonts w:ascii="Simplified Arabic" w:hAnsi="Simplified Arabic" w:cs="Simplified Arabic"/>
                <w:color w:val="77933C" w:themeColor="accent3" w:themeShade="BF"/>
                <w:rtl/>
              </w:rPr>
              <w:t>سنة</w:t>
            </w:r>
          </w:p>
        </w:tc>
        <w:tc>
          <w:tcPr>
            <w:tcW w:w="0" w:type="auto"/>
            <w:tcBorders>
              <w:right w:val="nil"/>
              <w:insideV w:val="nil"/>
            </w:tcBorders>
            <w:shd w:val="clear" w:color="auto" w:fill="E6EED5" w:themeFill="accent3" w:themeFillTint="3F"/>
          </w:tcPr>
          <w:p w14:paraId="4074E47E">
            <w:pPr>
              <w:bidi/>
              <w:spacing w:after="0" w:line="240" w:lineRule="auto"/>
              <w:rPr>
                <w:rFonts w:ascii="Simplified Arabic" w:hAnsi="Simplified Arabic" w:cs="Simplified Arabic"/>
                <w:color w:val="77933C" w:themeColor="accent3" w:themeShade="BF"/>
                <w:sz w:val="24"/>
                <w:szCs w:val="24"/>
              </w:rPr>
            </w:pPr>
            <w:r>
              <w:rPr>
                <w:rStyle w:val="11"/>
                <w:rFonts w:ascii="Simplified Arabic" w:hAnsi="Simplified Arabic" w:cs="Simplified Arabic"/>
                <w:color w:val="77933C" w:themeColor="accent3" w:themeShade="BF"/>
                <w:rtl/>
              </w:rPr>
              <w:t>الفئة العمرية</w:t>
            </w:r>
          </w:p>
        </w:tc>
      </w:tr>
      <w:tr w14:paraId="210FE71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BFA1602">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22 (25.9%)</w:t>
            </w:r>
          </w:p>
        </w:tc>
        <w:tc>
          <w:tcPr>
            <w:tcW w:w="0" w:type="auto"/>
          </w:tcPr>
          <w:p w14:paraId="1DB47E14">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12 (26.7%)</w:t>
            </w:r>
          </w:p>
        </w:tc>
        <w:tc>
          <w:tcPr>
            <w:tcW w:w="0" w:type="auto"/>
          </w:tcPr>
          <w:p w14:paraId="78906660">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10 (25.0%)</w:t>
            </w:r>
          </w:p>
        </w:tc>
        <w:tc>
          <w:tcPr>
            <w:tcW w:w="0" w:type="auto"/>
          </w:tcPr>
          <w:p w14:paraId="51D7CA29">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 xml:space="preserve">23–30 </w:t>
            </w:r>
            <w:r>
              <w:rPr>
                <w:rFonts w:ascii="Simplified Arabic" w:hAnsi="Simplified Arabic" w:cs="Simplified Arabic"/>
                <w:color w:val="77933C" w:themeColor="accent3" w:themeShade="BF"/>
                <w:rtl/>
              </w:rPr>
              <w:t>سنة</w:t>
            </w:r>
          </w:p>
        </w:tc>
        <w:tc>
          <w:tcPr>
            <w:tcW w:w="0" w:type="auto"/>
          </w:tcPr>
          <w:p w14:paraId="684CCCAB">
            <w:pPr>
              <w:bidi/>
              <w:spacing w:after="0" w:line="240" w:lineRule="auto"/>
              <w:rPr>
                <w:rFonts w:ascii="Simplified Arabic" w:hAnsi="Simplified Arabic" w:cs="Simplified Arabic"/>
                <w:color w:val="77933C" w:themeColor="accent3" w:themeShade="BF"/>
                <w:sz w:val="24"/>
                <w:szCs w:val="24"/>
              </w:rPr>
            </w:pPr>
          </w:p>
        </w:tc>
      </w:tr>
      <w:tr w14:paraId="681CB72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AD0FD77">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27 (31.8%)</w:t>
            </w:r>
          </w:p>
        </w:tc>
        <w:tc>
          <w:tcPr>
            <w:tcW w:w="0" w:type="auto"/>
            <w:tcBorders>
              <w:right w:val="nil"/>
              <w:insideV w:val="nil"/>
            </w:tcBorders>
            <w:shd w:val="clear" w:color="auto" w:fill="E6EED5" w:themeFill="accent3" w:themeFillTint="3F"/>
          </w:tcPr>
          <w:p w14:paraId="49674EEB">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15 (33.3%)</w:t>
            </w:r>
          </w:p>
        </w:tc>
        <w:tc>
          <w:tcPr>
            <w:tcW w:w="0" w:type="auto"/>
            <w:tcBorders>
              <w:right w:val="nil"/>
              <w:insideV w:val="nil"/>
            </w:tcBorders>
            <w:shd w:val="clear" w:color="auto" w:fill="E6EED5" w:themeFill="accent3" w:themeFillTint="3F"/>
          </w:tcPr>
          <w:p w14:paraId="31F2D234">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12 (30.0%)</w:t>
            </w:r>
          </w:p>
        </w:tc>
        <w:tc>
          <w:tcPr>
            <w:tcW w:w="0" w:type="auto"/>
            <w:tcBorders>
              <w:right w:val="nil"/>
              <w:insideV w:val="nil"/>
            </w:tcBorders>
            <w:shd w:val="clear" w:color="auto" w:fill="E6EED5" w:themeFill="accent3" w:themeFillTint="3F"/>
          </w:tcPr>
          <w:p w14:paraId="07A810C7">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 xml:space="preserve">31–40 </w:t>
            </w:r>
            <w:r>
              <w:rPr>
                <w:rFonts w:ascii="Simplified Arabic" w:hAnsi="Simplified Arabic" w:cs="Simplified Arabic"/>
                <w:color w:val="77933C" w:themeColor="accent3" w:themeShade="BF"/>
                <w:rtl/>
              </w:rPr>
              <w:t>سنة</w:t>
            </w:r>
          </w:p>
        </w:tc>
        <w:tc>
          <w:tcPr>
            <w:tcW w:w="0" w:type="auto"/>
            <w:tcBorders>
              <w:right w:val="nil"/>
              <w:insideV w:val="nil"/>
            </w:tcBorders>
            <w:shd w:val="clear" w:color="auto" w:fill="E6EED5" w:themeFill="accent3" w:themeFillTint="3F"/>
          </w:tcPr>
          <w:p w14:paraId="51452022">
            <w:pPr>
              <w:bidi/>
              <w:spacing w:after="0" w:line="240" w:lineRule="auto"/>
              <w:rPr>
                <w:rFonts w:ascii="Simplified Arabic" w:hAnsi="Simplified Arabic" w:cs="Simplified Arabic"/>
                <w:color w:val="77933C" w:themeColor="accent3" w:themeShade="BF"/>
                <w:sz w:val="24"/>
                <w:szCs w:val="24"/>
              </w:rPr>
            </w:pPr>
          </w:p>
        </w:tc>
      </w:tr>
      <w:tr w14:paraId="5D8ECBE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D5CA4AA">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16 (18.8%)</w:t>
            </w:r>
          </w:p>
        </w:tc>
        <w:tc>
          <w:tcPr>
            <w:tcW w:w="0" w:type="auto"/>
          </w:tcPr>
          <w:p w14:paraId="1747B8D1">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10 (22.2%)</w:t>
            </w:r>
          </w:p>
        </w:tc>
        <w:tc>
          <w:tcPr>
            <w:tcW w:w="0" w:type="auto"/>
          </w:tcPr>
          <w:p w14:paraId="3E273AFF">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6 (15.0%)</w:t>
            </w:r>
          </w:p>
        </w:tc>
        <w:tc>
          <w:tcPr>
            <w:tcW w:w="0" w:type="auto"/>
          </w:tcPr>
          <w:p w14:paraId="3B9537D9">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 xml:space="preserve">41+ </w:t>
            </w:r>
            <w:r>
              <w:rPr>
                <w:rFonts w:ascii="Simplified Arabic" w:hAnsi="Simplified Arabic" w:cs="Simplified Arabic"/>
                <w:color w:val="77933C" w:themeColor="accent3" w:themeShade="BF"/>
                <w:rtl/>
              </w:rPr>
              <w:t>سنة</w:t>
            </w:r>
          </w:p>
        </w:tc>
        <w:tc>
          <w:tcPr>
            <w:tcW w:w="0" w:type="auto"/>
          </w:tcPr>
          <w:p w14:paraId="175D3BCC">
            <w:pPr>
              <w:bidi/>
              <w:spacing w:after="0" w:line="240" w:lineRule="auto"/>
              <w:rPr>
                <w:rFonts w:ascii="Simplified Arabic" w:hAnsi="Simplified Arabic" w:cs="Simplified Arabic"/>
                <w:color w:val="77933C" w:themeColor="accent3" w:themeShade="BF"/>
                <w:sz w:val="24"/>
                <w:szCs w:val="24"/>
              </w:rPr>
            </w:pPr>
          </w:p>
        </w:tc>
      </w:tr>
      <w:tr w14:paraId="030A184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F2968B9">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30 (35.3%)</w:t>
            </w:r>
          </w:p>
        </w:tc>
        <w:tc>
          <w:tcPr>
            <w:tcW w:w="0" w:type="auto"/>
            <w:tcBorders>
              <w:right w:val="nil"/>
              <w:insideV w:val="nil"/>
            </w:tcBorders>
            <w:shd w:val="clear" w:color="auto" w:fill="E6EED5" w:themeFill="accent3" w:themeFillTint="3F"/>
          </w:tcPr>
          <w:p w14:paraId="4CDFDE27">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15 (33.3%)</w:t>
            </w:r>
          </w:p>
        </w:tc>
        <w:tc>
          <w:tcPr>
            <w:tcW w:w="0" w:type="auto"/>
            <w:tcBorders>
              <w:right w:val="nil"/>
              <w:insideV w:val="nil"/>
            </w:tcBorders>
            <w:shd w:val="clear" w:color="auto" w:fill="E6EED5" w:themeFill="accent3" w:themeFillTint="3F"/>
          </w:tcPr>
          <w:p w14:paraId="7784EB26">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15 (37.5%)</w:t>
            </w:r>
          </w:p>
        </w:tc>
        <w:tc>
          <w:tcPr>
            <w:tcW w:w="0" w:type="auto"/>
            <w:tcBorders>
              <w:right w:val="nil"/>
              <w:insideV w:val="nil"/>
            </w:tcBorders>
            <w:shd w:val="clear" w:color="auto" w:fill="E6EED5" w:themeFill="accent3" w:themeFillTint="3F"/>
          </w:tcPr>
          <w:p w14:paraId="2E9637E8">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طالب جامعي</w:t>
            </w:r>
          </w:p>
        </w:tc>
        <w:tc>
          <w:tcPr>
            <w:tcW w:w="0" w:type="auto"/>
            <w:tcBorders>
              <w:right w:val="nil"/>
              <w:insideV w:val="nil"/>
            </w:tcBorders>
            <w:shd w:val="clear" w:color="auto" w:fill="E6EED5" w:themeFill="accent3" w:themeFillTint="3F"/>
          </w:tcPr>
          <w:p w14:paraId="4A95ABCF">
            <w:pPr>
              <w:bidi/>
              <w:spacing w:after="0" w:line="240" w:lineRule="auto"/>
              <w:rPr>
                <w:rFonts w:ascii="Simplified Arabic" w:hAnsi="Simplified Arabic" w:cs="Simplified Arabic"/>
                <w:color w:val="77933C" w:themeColor="accent3" w:themeShade="BF"/>
                <w:sz w:val="24"/>
                <w:szCs w:val="24"/>
              </w:rPr>
            </w:pPr>
            <w:r>
              <w:rPr>
                <w:rStyle w:val="11"/>
                <w:rFonts w:ascii="Simplified Arabic" w:hAnsi="Simplified Arabic" w:cs="Simplified Arabic"/>
                <w:color w:val="77933C" w:themeColor="accent3" w:themeShade="BF"/>
                <w:rtl/>
              </w:rPr>
              <w:t>الحالة الحالية</w:t>
            </w:r>
          </w:p>
        </w:tc>
      </w:tr>
      <w:tr w14:paraId="671EB41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49216C50">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30 (35.3%)</w:t>
            </w:r>
          </w:p>
        </w:tc>
        <w:tc>
          <w:tcPr>
            <w:tcW w:w="0" w:type="auto"/>
          </w:tcPr>
          <w:p w14:paraId="5F60E16D">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18 (40.0%)</w:t>
            </w:r>
          </w:p>
        </w:tc>
        <w:tc>
          <w:tcPr>
            <w:tcW w:w="0" w:type="auto"/>
          </w:tcPr>
          <w:p w14:paraId="572CC5EF">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12 (30.0%)</w:t>
            </w:r>
          </w:p>
        </w:tc>
        <w:tc>
          <w:tcPr>
            <w:tcW w:w="0" w:type="auto"/>
          </w:tcPr>
          <w:p w14:paraId="6B5FD44C">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معلم</w:t>
            </w:r>
          </w:p>
        </w:tc>
        <w:tc>
          <w:tcPr>
            <w:tcW w:w="0" w:type="auto"/>
          </w:tcPr>
          <w:p w14:paraId="5E2DD9AA">
            <w:pPr>
              <w:bidi/>
              <w:spacing w:after="0" w:line="240" w:lineRule="auto"/>
              <w:rPr>
                <w:rFonts w:ascii="Simplified Arabic" w:hAnsi="Simplified Arabic" w:cs="Simplified Arabic"/>
                <w:color w:val="77933C" w:themeColor="accent3" w:themeShade="BF"/>
                <w:sz w:val="24"/>
                <w:szCs w:val="24"/>
              </w:rPr>
            </w:pPr>
          </w:p>
        </w:tc>
      </w:tr>
      <w:tr w14:paraId="1DFE019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72D1543D">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20 (23.5%)</w:t>
            </w:r>
          </w:p>
        </w:tc>
        <w:tc>
          <w:tcPr>
            <w:tcW w:w="0" w:type="auto"/>
            <w:tcBorders>
              <w:right w:val="nil"/>
              <w:insideV w:val="nil"/>
            </w:tcBorders>
            <w:shd w:val="clear" w:color="auto" w:fill="E6EED5" w:themeFill="accent3" w:themeFillTint="3F"/>
          </w:tcPr>
          <w:p w14:paraId="1FCB1371">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10 (22.2%)</w:t>
            </w:r>
          </w:p>
        </w:tc>
        <w:tc>
          <w:tcPr>
            <w:tcW w:w="0" w:type="auto"/>
            <w:tcBorders>
              <w:right w:val="nil"/>
              <w:insideV w:val="nil"/>
            </w:tcBorders>
            <w:shd w:val="clear" w:color="auto" w:fill="E6EED5" w:themeFill="accent3" w:themeFillTint="3F"/>
          </w:tcPr>
          <w:p w14:paraId="68EA2D95">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10 (25.0%)</w:t>
            </w:r>
          </w:p>
        </w:tc>
        <w:tc>
          <w:tcPr>
            <w:tcW w:w="0" w:type="auto"/>
            <w:tcBorders>
              <w:right w:val="nil"/>
              <w:insideV w:val="nil"/>
            </w:tcBorders>
            <w:shd w:val="clear" w:color="auto" w:fill="E6EED5" w:themeFill="accent3" w:themeFillTint="3F"/>
          </w:tcPr>
          <w:p w14:paraId="1AB7DA52">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أكاديمي</w:t>
            </w:r>
          </w:p>
        </w:tc>
        <w:tc>
          <w:tcPr>
            <w:tcW w:w="0" w:type="auto"/>
            <w:tcBorders>
              <w:right w:val="nil"/>
              <w:insideV w:val="nil"/>
            </w:tcBorders>
            <w:shd w:val="clear" w:color="auto" w:fill="E6EED5" w:themeFill="accent3" w:themeFillTint="3F"/>
          </w:tcPr>
          <w:p w14:paraId="448A1E72">
            <w:pPr>
              <w:bidi/>
              <w:spacing w:after="0" w:line="240" w:lineRule="auto"/>
              <w:rPr>
                <w:rFonts w:ascii="Simplified Arabic" w:hAnsi="Simplified Arabic" w:cs="Simplified Arabic"/>
                <w:color w:val="77933C" w:themeColor="accent3" w:themeShade="BF"/>
                <w:sz w:val="24"/>
                <w:szCs w:val="24"/>
              </w:rPr>
            </w:pPr>
          </w:p>
        </w:tc>
      </w:tr>
      <w:tr w14:paraId="0537719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7345743C">
            <w:pPr>
              <w:bidi/>
              <w:spacing w:after="0" w:line="240" w:lineRule="auto"/>
              <w:rPr>
                <w:rFonts w:ascii="Simplified Arabic" w:hAnsi="Simplified Arabic" w:cs="Simplified Arabic"/>
                <w:b/>
                <w:bCs/>
                <w:color w:val="77933C" w:themeColor="accent3" w:themeShade="BF"/>
                <w:sz w:val="24"/>
                <w:szCs w:val="24"/>
              </w:rPr>
            </w:pPr>
            <w:r>
              <w:rPr>
                <w:rFonts w:ascii="Simplified Arabic" w:hAnsi="Simplified Arabic" w:cs="Simplified Arabic"/>
                <w:b/>
                <w:bCs/>
                <w:color w:val="77933C" w:themeColor="accent3" w:themeShade="BF"/>
              </w:rPr>
              <w:t>5 (5.9%)</w:t>
            </w:r>
          </w:p>
        </w:tc>
        <w:tc>
          <w:tcPr>
            <w:tcW w:w="0" w:type="auto"/>
          </w:tcPr>
          <w:p w14:paraId="67A0ACFA">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2 (4.4%)</w:t>
            </w:r>
          </w:p>
        </w:tc>
        <w:tc>
          <w:tcPr>
            <w:tcW w:w="0" w:type="auto"/>
          </w:tcPr>
          <w:p w14:paraId="7AAD6B76">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Pr>
              <w:t>3 (7.5%)</w:t>
            </w:r>
          </w:p>
        </w:tc>
        <w:tc>
          <w:tcPr>
            <w:tcW w:w="0" w:type="auto"/>
          </w:tcPr>
          <w:p w14:paraId="34BF130A">
            <w:pPr>
              <w:bidi/>
              <w:spacing w:after="0" w:line="240" w:lineRule="auto"/>
              <w:rPr>
                <w:rFonts w:ascii="Simplified Arabic" w:hAnsi="Simplified Arabic" w:cs="Simplified Arabic"/>
                <w:color w:val="77933C" w:themeColor="accent3" w:themeShade="BF"/>
                <w:sz w:val="24"/>
                <w:szCs w:val="24"/>
              </w:rPr>
            </w:pPr>
            <w:r>
              <w:rPr>
                <w:rFonts w:ascii="Simplified Arabic" w:hAnsi="Simplified Arabic" w:cs="Simplified Arabic"/>
                <w:color w:val="77933C" w:themeColor="accent3" w:themeShade="BF"/>
                <w:rtl/>
              </w:rPr>
              <w:t>إداري</w:t>
            </w:r>
          </w:p>
        </w:tc>
        <w:tc>
          <w:tcPr>
            <w:tcW w:w="0" w:type="auto"/>
          </w:tcPr>
          <w:p w14:paraId="76DD166D">
            <w:pPr>
              <w:bidi/>
              <w:spacing w:after="0" w:line="240" w:lineRule="auto"/>
              <w:rPr>
                <w:rFonts w:ascii="Simplified Arabic" w:hAnsi="Simplified Arabic" w:cs="Simplified Arabic"/>
                <w:color w:val="77933C" w:themeColor="accent3" w:themeShade="BF"/>
                <w:sz w:val="24"/>
                <w:szCs w:val="24"/>
              </w:rPr>
            </w:pPr>
          </w:p>
        </w:tc>
      </w:tr>
    </w:tbl>
    <w:p w14:paraId="5D6E697D">
      <w:pPr>
        <w:pStyle w:val="4"/>
        <w:bidi/>
        <w:rPr>
          <w:rFonts w:ascii="Simplified Arabic" w:hAnsi="Simplified Arabic" w:cs="Simplified Arabic"/>
        </w:rPr>
      </w:pPr>
    </w:p>
    <w:p w14:paraId="737060D1">
      <w:pPr>
        <w:pStyle w:val="10"/>
        <w:bidi/>
        <w:rPr>
          <w:rStyle w:val="8"/>
          <w:rFonts w:ascii="Simplified Arabic" w:hAnsi="Simplified Arabic" w:cs="Simplified Arabic" w:eastAsiaTheme="majorEastAsia"/>
          <w:rtl/>
        </w:rPr>
      </w:pPr>
    </w:p>
    <w:p w14:paraId="7D13B5AD">
      <w:pPr>
        <w:pStyle w:val="10"/>
        <w:bidi/>
        <w:rPr>
          <w:rStyle w:val="8"/>
          <w:rFonts w:ascii="Simplified Arabic" w:hAnsi="Simplified Arabic" w:cs="Simplified Arabic" w:eastAsiaTheme="majorEastAsia"/>
          <w:rtl/>
        </w:rPr>
      </w:pPr>
    </w:p>
    <w:p w14:paraId="4DE4E43F">
      <w:pPr>
        <w:pStyle w:val="10"/>
        <w:bidi/>
        <w:rPr>
          <w:rFonts w:ascii="Simplified Arabic" w:hAnsi="Simplified Arabic" w:cs="Simplified Arabic"/>
        </w:rPr>
      </w:pPr>
      <w:r>
        <w:rPr>
          <w:rStyle w:val="8"/>
          <w:rFonts w:ascii="Simplified Arabic" w:hAnsi="Simplified Arabic" w:cs="Simplified Arabic" w:eastAsiaTheme="majorEastAsia"/>
          <w:rtl/>
        </w:rPr>
        <w:t>المصدر: إعداد الباحثَيْن بالاستناد إلى بيانات المقابلات الميدانية (2024–2025</w:t>
      </w:r>
      <w:r>
        <w:rPr>
          <w:rStyle w:val="8"/>
          <w:rFonts w:hint="cs" w:ascii="Simplified Arabic" w:hAnsi="Simplified Arabic" w:cs="Simplified Arabic" w:eastAsiaTheme="majorEastAsia"/>
          <w:rtl/>
        </w:rPr>
        <w:t>).</w:t>
      </w:r>
    </w:p>
    <w:p w14:paraId="4DCD7E9C">
      <w:pPr>
        <w:bidi/>
        <w:rPr>
          <w:rFonts w:ascii="Simplified Arabic" w:hAnsi="Simplified Arabic" w:cs="Simplified Arabic"/>
        </w:rPr>
      </w:pPr>
    </w:p>
    <w:p w14:paraId="4F6E2FE2">
      <w:pPr>
        <w:pStyle w:val="10"/>
        <w:bidi/>
        <w:rPr>
          <w:rFonts w:hint="cs" w:ascii="Simplified Arabic" w:hAnsi="Simplified Arabic" w:cs="Simplified Arabic"/>
          <w:rtl/>
        </w:rPr>
      </w:pPr>
      <w:r>
        <w:rPr>
          <w:rFonts w:ascii="Simplified Arabic" w:hAnsi="Simplified Arabic" w:cs="Simplified Arabic"/>
          <w:rtl/>
        </w:rPr>
        <w:t xml:space="preserve">يوضح </w:t>
      </w:r>
      <w:r>
        <w:rPr>
          <w:rStyle w:val="11"/>
          <w:rFonts w:ascii="Simplified Arabic" w:hAnsi="Simplified Arabic" w:cs="Simplified Arabic"/>
          <w:rtl/>
        </w:rPr>
        <w:t>الجدول (1</w:t>
      </w:r>
      <w:r>
        <w:rPr>
          <w:rStyle w:val="11"/>
          <w:rFonts w:ascii="Simplified Arabic" w:hAnsi="Simplified Arabic" w:cs="Simplified Arabic"/>
        </w:rPr>
        <w:t>)</w:t>
      </w:r>
      <w:r>
        <w:rPr>
          <w:rFonts w:ascii="Simplified Arabic" w:hAnsi="Simplified Arabic" w:cs="Simplified Arabic"/>
        </w:rPr>
        <w:t xml:space="preserve"> </w:t>
      </w:r>
      <w:r>
        <w:rPr>
          <w:rFonts w:ascii="Simplified Arabic" w:hAnsi="Simplified Arabic" w:cs="Simplified Arabic"/>
          <w:rtl/>
        </w:rPr>
        <w:t>أن العينة متوازنة نسبياً بين الذكور (44.7%) والإناث (55.3%)، وأن الفئة العمرية الأكثر تمثيلاً هي 31–40 سنة (31.8%)، وهي الفئة التي غالباً ما تجمع بين الخبرة التعليمية والقدرة على التعبير عن أثر الاستهداف على الهوية والذاكرة. كما يظهر تنوع وظيفي يغطي الطلبة والمعلمين والأكاديميين والإداريين، مما يعزز تمثيل التجربة التعليمية تحت الإبادة من زوايا متعددة. هذا التنوع يتيح للبحث قراءة شاملة لتأثير إبادة التعليم على مختلف الفاعلين في الحقل التعليمي، ويمنح النتائج قوة تفسيرية أكبر عند ربطها بالإطار النظري حول الأمن الوجودي والسيادة المعرفية</w:t>
      </w:r>
      <w:r>
        <w:rPr>
          <w:rFonts w:ascii="Simplified Arabic" w:hAnsi="Simplified Arabic" w:cs="Simplified Arabic"/>
        </w:rPr>
        <w:t>.</w:t>
      </w:r>
    </w:p>
    <w:p w14:paraId="507D7C25">
      <w:pPr>
        <w:pStyle w:val="10"/>
        <w:bidi/>
        <w:rPr>
          <w:rFonts w:hint="cs" w:ascii="Simplified Arabic" w:hAnsi="Simplified Arabic" w:cs="Simplified Arabic"/>
          <w:rtl/>
        </w:rPr>
      </w:pPr>
    </w:p>
    <w:p w14:paraId="094C65D7">
      <w:pPr>
        <w:bidi/>
        <w:spacing w:before="100" w:beforeAutospacing="1" w:after="100" w:afterAutospacing="1" w:line="240" w:lineRule="auto"/>
        <w:outlineLvl w:val="1"/>
        <w:rPr>
          <w:rFonts w:ascii="Simplified Arabic" w:hAnsi="Simplified Arabic" w:eastAsia="Times New Roman" w:cs="Simplified Arabic"/>
          <w:b/>
          <w:bCs/>
          <w:sz w:val="36"/>
          <w:szCs w:val="36"/>
        </w:rPr>
      </w:pPr>
      <w:r>
        <w:rPr>
          <w:rFonts w:ascii="Simplified Arabic" w:hAnsi="Simplified Arabic" w:eastAsia="Times New Roman" w:cs="Simplified Arabic"/>
          <w:b/>
          <w:bCs/>
          <w:sz w:val="36"/>
          <w:szCs w:val="36"/>
          <w:rtl/>
        </w:rPr>
        <w:t>ثانياً: إجابات السؤال الأول</w:t>
      </w:r>
    </w:p>
    <w:p w14:paraId="3FF02D3C">
      <w:pPr>
        <w:bidi/>
        <w:spacing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السؤال الأول: ما أنماط إبادة التعليم في غزة والقدس، وكيف تتكامل هذه الأنماط في تقويض الأمن الوجودي الفلسطيني؟</w:t>
      </w:r>
    </w:p>
    <w:p w14:paraId="18E4B573">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Pr>
        <w:t xml:space="preserve">1. </w:t>
      </w:r>
      <w:r>
        <w:rPr>
          <w:rFonts w:ascii="Simplified Arabic" w:hAnsi="Simplified Arabic" w:eastAsia="Times New Roman" w:cs="Simplified Arabic"/>
          <w:b/>
          <w:bCs/>
          <w:sz w:val="27"/>
          <w:szCs w:val="27"/>
          <w:rtl/>
        </w:rPr>
        <w:t>إبادة التعليم في غزة: التدمير المادي الممنهج</w:t>
      </w:r>
    </w:p>
    <w:p w14:paraId="5B1CF27D">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في إطار الإجابة عن الشق الأول من السؤال الأول، يوضح الجدول (2) حجم ونمط التدمير الذي لحق بالمؤسسات التعليمية والكوادر الأكاديمية والطلبة في قطاع غزة خلال الفترة 2023–2025</w:t>
      </w:r>
      <w:r>
        <w:rPr>
          <w:rFonts w:ascii="Simplified Arabic" w:hAnsi="Simplified Arabic" w:eastAsia="Times New Roman" w:cs="Simplified Arabic"/>
          <w:sz w:val="24"/>
          <w:szCs w:val="24"/>
        </w:rPr>
        <w:t>.</w:t>
      </w:r>
    </w:p>
    <w:p w14:paraId="4D8FF713">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(2): حجم التدمير المؤسسي في قطاع غزة (أكتوبر 2023 – يناير 2025</w:t>
      </w:r>
      <w:r>
        <w:rPr>
          <w:rFonts w:hint="cs" w:ascii="Simplified Arabic" w:hAnsi="Simplified Arabic" w:eastAsia="Times New Roman" w:cs="Simplified Arabic"/>
          <w:b/>
          <w:bCs/>
          <w:sz w:val="24"/>
          <w:szCs w:val="24"/>
          <w:rtl/>
        </w:rPr>
        <w:t>)</w:t>
      </w:r>
    </w:p>
    <w:tbl>
      <w:tblPr>
        <w:tblStyle w:val="13"/>
        <w:tblW w:w="7225" w:type="dxa"/>
        <w:tblInd w:w="2147"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7"/>
        <w:gridCol w:w="1118"/>
        <w:gridCol w:w="1102"/>
        <w:gridCol w:w="1337"/>
        <w:gridCol w:w="1581"/>
      </w:tblGrid>
      <w:tr w14:paraId="7684842D">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Borders>
              <w:top w:val="single" w:color="9BBB59" w:themeColor="accent3" w:sz="8" w:space="0"/>
              <w:left w:val="nil"/>
              <w:bottom w:val="single" w:color="9BBB59" w:themeColor="accent3" w:sz="8" w:space="0"/>
              <w:right w:val="nil"/>
              <w:insideH w:val="single" w:sz="8" w:space="0"/>
              <w:insideV w:val="nil"/>
            </w:tcBorders>
          </w:tcPr>
          <w:p w14:paraId="556AF568">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المصدر</w:t>
            </w:r>
          </w:p>
        </w:tc>
        <w:tc>
          <w:tcPr>
            <w:tcW w:w="0" w:type="auto"/>
            <w:tcBorders>
              <w:top w:val="single" w:color="9BBB59" w:themeColor="accent3" w:sz="8" w:space="0"/>
              <w:bottom w:val="single" w:color="9BBB59" w:themeColor="accent3" w:sz="8" w:space="0"/>
              <w:right w:val="nil"/>
              <w:insideH w:val="single" w:sz="8" w:space="0"/>
              <w:insideV w:val="nil"/>
            </w:tcBorders>
          </w:tcPr>
          <w:p w14:paraId="35FEA901">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نسبة التدمير</w:t>
            </w:r>
          </w:p>
        </w:tc>
        <w:tc>
          <w:tcPr>
            <w:tcW w:w="0" w:type="auto"/>
            <w:tcBorders>
              <w:top w:val="single" w:color="9BBB59" w:themeColor="accent3" w:sz="8" w:space="0"/>
              <w:bottom w:val="single" w:color="9BBB59" w:themeColor="accent3" w:sz="8" w:space="0"/>
              <w:right w:val="nil"/>
              <w:insideH w:val="single" w:sz="8" w:space="0"/>
              <w:insideV w:val="nil"/>
            </w:tcBorders>
          </w:tcPr>
          <w:p w14:paraId="65A09368">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العدد المُدمَّر</w:t>
            </w:r>
          </w:p>
        </w:tc>
        <w:tc>
          <w:tcPr>
            <w:tcW w:w="0" w:type="auto"/>
            <w:tcBorders>
              <w:top w:val="single" w:color="9BBB59" w:themeColor="accent3" w:sz="8" w:space="0"/>
              <w:bottom w:val="single" w:color="9BBB59" w:themeColor="accent3" w:sz="8" w:space="0"/>
              <w:right w:val="nil"/>
              <w:insideH w:val="single" w:sz="8" w:space="0"/>
              <w:insideV w:val="nil"/>
            </w:tcBorders>
          </w:tcPr>
          <w:p w14:paraId="54941622">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العدد قبل الحرب</w:t>
            </w:r>
          </w:p>
        </w:tc>
        <w:tc>
          <w:tcPr>
            <w:tcW w:w="0" w:type="auto"/>
            <w:tcBorders>
              <w:top w:val="single" w:color="9BBB59" w:themeColor="accent3" w:sz="8" w:space="0"/>
              <w:bottom w:val="single" w:color="9BBB59" w:themeColor="accent3" w:sz="8" w:space="0"/>
              <w:right w:val="nil"/>
              <w:insideH w:val="single" w:sz="8" w:space="0"/>
              <w:insideV w:val="nil"/>
            </w:tcBorders>
          </w:tcPr>
          <w:p w14:paraId="40A9C650">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المؤشر</w:t>
            </w:r>
          </w:p>
        </w:tc>
      </w:tr>
      <w:tr w14:paraId="74AE822D">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Borders>
              <w:left w:val="nil"/>
              <w:right w:val="nil"/>
              <w:insideV w:val="nil"/>
            </w:tcBorders>
            <w:shd w:val="clear" w:color="auto" w:fill="E6EED5" w:themeFill="accent3" w:themeFillTint="3F"/>
          </w:tcPr>
          <w:p w14:paraId="307F6187">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UNESCO, 2024, p. 45</w:t>
            </w:r>
          </w:p>
        </w:tc>
        <w:tc>
          <w:tcPr>
            <w:tcW w:w="0" w:type="auto"/>
            <w:tcBorders>
              <w:right w:val="nil"/>
              <w:insideV w:val="nil"/>
            </w:tcBorders>
            <w:shd w:val="clear" w:color="auto" w:fill="E6EED5" w:themeFill="accent3" w:themeFillTint="3F"/>
          </w:tcPr>
          <w:p w14:paraId="52B3B65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100%</w:t>
            </w:r>
          </w:p>
        </w:tc>
        <w:tc>
          <w:tcPr>
            <w:tcW w:w="0" w:type="auto"/>
            <w:tcBorders>
              <w:right w:val="nil"/>
              <w:insideV w:val="nil"/>
            </w:tcBorders>
            <w:shd w:val="clear" w:color="auto" w:fill="E6EED5" w:themeFill="accent3" w:themeFillTint="3F"/>
          </w:tcPr>
          <w:p w14:paraId="6DFA9DB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12</w:t>
            </w:r>
          </w:p>
        </w:tc>
        <w:tc>
          <w:tcPr>
            <w:tcW w:w="0" w:type="auto"/>
            <w:tcBorders>
              <w:right w:val="nil"/>
              <w:insideV w:val="nil"/>
            </w:tcBorders>
            <w:shd w:val="clear" w:color="auto" w:fill="E6EED5" w:themeFill="accent3" w:themeFillTint="3F"/>
          </w:tcPr>
          <w:p w14:paraId="6433494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12</w:t>
            </w:r>
          </w:p>
        </w:tc>
        <w:tc>
          <w:tcPr>
            <w:tcW w:w="0" w:type="auto"/>
            <w:tcBorders>
              <w:right w:val="nil"/>
              <w:insideV w:val="nil"/>
            </w:tcBorders>
            <w:shd w:val="clear" w:color="auto" w:fill="E6EED5" w:themeFill="accent3" w:themeFillTint="3F"/>
          </w:tcPr>
          <w:p w14:paraId="73B73BC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الجامعات</w:t>
            </w:r>
          </w:p>
        </w:tc>
      </w:tr>
      <w:tr w14:paraId="5CD7FA1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Pr>
          <w:p w14:paraId="2078F9D9">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OCHA, 2024, p. 12</w:t>
            </w:r>
          </w:p>
        </w:tc>
        <w:tc>
          <w:tcPr>
            <w:tcW w:w="0" w:type="auto"/>
          </w:tcPr>
          <w:p w14:paraId="75E1B2F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~62%</w:t>
            </w:r>
          </w:p>
        </w:tc>
        <w:tc>
          <w:tcPr>
            <w:tcW w:w="0" w:type="auto"/>
          </w:tcPr>
          <w:p w14:paraId="04D5F84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352</w:t>
            </w:r>
          </w:p>
        </w:tc>
        <w:tc>
          <w:tcPr>
            <w:tcW w:w="0" w:type="auto"/>
          </w:tcPr>
          <w:p w14:paraId="29ABA32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563</w:t>
            </w:r>
          </w:p>
        </w:tc>
        <w:tc>
          <w:tcPr>
            <w:tcW w:w="0" w:type="auto"/>
          </w:tcPr>
          <w:p w14:paraId="1915B04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المدارس</w:t>
            </w:r>
          </w:p>
        </w:tc>
      </w:tr>
      <w:tr w14:paraId="79D4F3A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Borders>
              <w:left w:val="nil"/>
              <w:right w:val="nil"/>
              <w:insideV w:val="nil"/>
            </w:tcBorders>
            <w:shd w:val="clear" w:color="auto" w:fill="E6EED5" w:themeFill="accent3" w:themeFillTint="3F"/>
          </w:tcPr>
          <w:p w14:paraId="1E5CB016">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UNESCO, 2024, p. 47</w:t>
            </w:r>
          </w:p>
        </w:tc>
        <w:tc>
          <w:tcPr>
            <w:tcW w:w="0" w:type="auto"/>
            <w:tcBorders>
              <w:right w:val="nil"/>
              <w:insideV w:val="nil"/>
            </w:tcBorders>
            <w:shd w:val="clear" w:color="auto" w:fill="E6EED5" w:themeFill="accent3" w:themeFillTint="3F"/>
          </w:tcPr>
          <w:p w14:paraId="5EAAD69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100%</w:t>
            </w:r>
          </w:p>
        </w:tc>
        <w:tc>
          <w:tcPr>
            <w:tcW w:w="0" w:type="auto"/>
            <w:tcBorders>
              <w:right w:val="nil"/>
              <w:insideV w:val="nil"/>
            </w:tcBorders>
            <w:shd w:val="clear" w:color="auto" w:fill="E6EED5" w:themeFill="accent3" w:themeFillTint="3F"/>
          </w:tcPr>
          <w:p w14:paraId="0142ED9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12</w:t>
            </w:r>
          </w:p>
        </w:tc>
        <w:tc>
          <w:tcPr>
            <w:tcW w:w="0" w:type="auto"/>
            <w:tcBorders>
              <w:right w:val="nil"/>
              <w:insideV w:val="nil"/>
            </w:tcBorders>
            <w:shd w:val="clear" w:color="auto" w:fill="E6EED5" w:themeFill="accent3" w:themeFillTint="3F"/>
          </w:tcPr>
          <w:p w14:paraId="25B7C05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12</w:t>
            </w:r>
          </w:p>
        </w:tc>
        <w:tc>
          <w:tcPr>
            <w:tcW w:w="0" w:type="auto"/>
            <w:tcBorders>
              <w:right w:val="nil"/>
              <w:insideV w:val="nil"/>
            </w:tcBorders>
            <w:shd w:val="clear" w:color="auto" w:fill="E6EED5" w:themeFill="accent3" w:themeFillTint="3F"/>
          </w:tcPr>
          <w:p w14:paraId="5F21BAA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المكتبات الجامعية</w:t>
            </w:r>
          </w:p>
        </w:tc>
      </w:tr>
      <w:tr w14:paraId="2C74E82D">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Pr>
          <w:p w14:paraId="7262C11C">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OCHA, 2024, p. 15</w:t>
            </w:r>
          </w:p>
        </w:tc>
        <w:tc>
          <w:tcPr>
            <w:tcW w:w="0" w:type="auto"/>
          </w:tcPr>
          <w:p w14:paraId="0F6945D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~88%</w:t>
            </w:r>
          </w:p>
        </w:tc>
        <w:tc>
          <w:tcPr>
            <w:tcW w:w="0" w:type="auto"/>
          </w:tcPr>
          <w:p w14:paraId="253D195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7</w:t>
            </w:r>
          </w:p>
        </w:tc>
        <w:tc>
          <w:tcPr>
            <w:tcW w:w="0" w:type="auto"/>
          </w:tcPr>
          <w:p w14:paraId="481C749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w:t>
            </w:r>
          </w:p>
        </w:tc>
        <w:tc>
          <w:tcPr>
            <w:tcW w:w="0" w:type="auto"/>
          </w:tcPr>
          <w:p w14:paraId="16F0274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مراكز البحث العلمي</w:t>
            </w:r>
          </w:p>
        </w:tc>
      </w:tr>
      <w:tr w14:paraId="7509E2C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Borders>
              <w:left w:val="nil"/>
              <w:right w:val="nil"/>
              <w:insideV w:val="nil"/>
            </w:tcBorders>
            <w:shd w:val="clear" w:color="auto" w:fill="E6EED5" w:themeFill="accent3" w:themeFillTint="3F"/>
          </w:tcPr>
          <w:p w14:paraId="53ACD5D5">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Scholars at Risk, 2024, p. 12</w:t>
            </w:r>
          </w:p>
        </w:tc>
        <w:tc>
          <w:tcPr>
            <w:tcW w:w="0" w:type="auto"/>
            <w:tcBorders>
              <w:right w:val="nil"/>
              <w:insideV w:val="nil"/>
            </w:tcBorders>
            <w:shd w:val="clear" w:color="auto" w:fill="E6EED5" w:themeFill="accent3" w:themeFillTint="3F"/>
          </w:tcPr>
          <w:p w14:paraId="5EF5894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0162E6B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107</w:t>
            </w:r>
          </w:p>
        </w:tc>
        <w:tc>
          <w:tcPr>
            <w:tcW w:w="0" w:type="auto"/>
            <w:tcBorders>
              <w:right w:val="nil"/>
              <w:insideV w:val="nil"/>
            </w:tcBorders>
            <w:shd w:val="clear" w:color="auto" w:fill="E6EED5" w:themeFill="accent3" w:themeFillTint="3F"/>
          </w:tcPr>
          <w:p w14:paraId="17896F1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3D0E7AA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الأكاديميون (شهداء</w:t>
            </w:r>
            <w:r>
              <w:rPr>
                <w:rFonts w:hint="cs" w:ascii="Simplified Arabic" w:hAnsi="Simplified Arabic" w:eastAsia="Times New Roman" w:cs="Simplified Arabic"/>
                <w:color w:val="77933C" w:themeColor="accent3" w:themeShade="BF"/>
                <w:sz w:val="24"/>
                <w:szCs w:val="24"/>
                <w:rtl/>
              </w:rPr>
              <w:t>)</w:t>
            </w:r>
          </w:p>
        </w:tc>
      </w:tr>
      <w:tr w14:paraId="77A18EF7">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Pr>
          <w:p w14:paraId="250659B9">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UNESCO, 2024, p. 49</w:t>
            </w:r>
          </w:p>
        </w:tc>
        <w:tc>
          <w:tcPr>
            <w:tcW w:w="0" w:type="auto"/>
          </w:tcPr>
          <w:p w14:paraId="7EFB600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p>
        </w:tc>
        <w:tc>
          <w:tcPr>
            <w:tcW w:w="0" w:type="auto"/>
          </w:tcPr>
          <w:p w14:paraId="4DEE999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5,479</w:t>
            </w:r>
          </w:p>
        </w:tc>
        <w:tc>
          <w:tcPr>
            <w:tcW w:w="0" w:type="auto"/>
          </w:tcPr>
          <w:p w14:paraId="5CA3E21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p>
        </w:tc>
        <w:tc>
          <w:tcPr>
            <w:tcW w:w="0" w:type="auto"/>
          </w:tcPr>
          <w:p w14:paraId="613A5C6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الطلبة (شهداء</w:t>
            </w:r>
            <w:r>
              <w:rPr>
                <w:rFonts w:hint="cs" w:ascii="Simplified Arabic" w:hAnsi="Simplified Arabic" w:eastAsia="Times New Roman" w:cs="Simplified Arabic"/>
                <w:color w:val="77933C" w:themeColor="accent3" w:themeShade="BF"/>
                <w:sz w:val="24"/>
                <w:szCs w:val="24"/>
                <w:rtl/>
              </w:rPr>
              <w:t>)</w:t>
            </w:r>
          </w:p>
        </w:tc>
      </w:tr>
      <w:tr w14:paraId="7CE6D53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088" w:type="dxa"/>
            <w:tcBorders>
              <w:left w:val="nil"/>
              <w:right w:val="nil"/>
              <w:insideV w:val="nil"/>
            </w:tcBorders>
            <w:shd w:val="clear" w:color="auto" w:fill="E6EED5" w:themeFill="accent3" w:themeFillTint="3F"/>
          </w:tcPr>
          <w:p w14:paraId="7AEC2385">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UNRWA, 2024, p. 7</w:t>
            </w:r>
          </w:p>
        </w:tc>
        <w:tc>
          <w:tcPr>
            <w:tcW w:w="0" w:type="auto"/>
            <w:tcBorders>
              <w:right w:val="nil"/>
              <w:insideV w:val="nil"/>
            </w:tcBorders>
            <w:shd w:val="clear" w:color="auto" w:fill="E6EED5" w:themeFill="accent3" w:themeFillTint="3F"/>
          </w:tcPr>
          <w:p w14:paraId="60D5853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~93%</w:t>
            </w:r>
          </w:p>
        </w:tc>
        <w:tc>
          <w:tcPr>
            <w:tcW w:w="0" w:type="auto"/>
            <w:tcBorders>
              <w:right w:val="nil"/>
              <w:insideV w:val="nil"/>
            </w:tcBorders>
            <w:shd w:val="clear" w:color="auto" w:fill="E6EED5" w:themeFill="accent3" w:themeFillTint="3F"/>
          </w:tcPr>
          <w:p w14:paraId="0D8CFFE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88,000</w:t>
            </w:r>
          </w:p>
        </w:tc>
        <w:tc>
          <w:tcPr>
            <w:tcW w:w="0" w:type="auto"/>
            <w:tcBorders>
              <w:right w:val="nil"/>
              <w:insideV w:val="nil"/>
            </w:tcBorders>
            <w:shd w:val="clear" w:color="auto" w:fill="E6EED5" w:themeFill="accent3" w:themeFillTint="3F"/>
          </w:tcPr>
          <w:p w14:paraId="1C40E51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95,000</w:t>
            </w:r>
          </w:p>
        </w:tc>
        <w:tc>
          <w:tcPr>
            <w:tcW w:w="0" w:type="auto"/>
            <w:tcBorders>
              <w:right w:val="nil"/>
              <w:insideV w:val="nil"/>
            </w:tcBorders>
            <w:shd w:val="clear" w:color="auto" w:fill="E6EED5" w:themeFill="accent3" w:themeFillTint="3F"/>
          </w:tcPr>
          <w:p w14:paraId="5A1701D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الطلبة خارج التعليم</w:t>
            </w:r>
          </w:p>
        </w:tc>
      </w:tr>
    </w:tbl>
    <w:p w14:paraId="4B987597">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يُلاحظ من الجدول (2) تعرض الجامعات والمكتبات الجامعية لتدمير شبه كامل (100%)، وتضرر نحو 62% من المدارس، واستشهاد أكثر من 5,000 طالب و107 أكاديميين، فيما خرج نحو 93% من الطلبة من التعليم. تعكس هذه المعطيات أن استهداف التعليم في غزة لم يكن عشوائياً، بل ممارسة ممنهجة تعمل وفق «منطق الإزالة» الذي صاغه باتريك وولف</w:t>
      </w:r>
      <w:r>
        <w:rPr>
          <w:rFonts w:ascii="Simplified Arabic" w:hAnsi="Simplified Arabic" w:eastAsia="Times New Roman" w:cs="Simplified Arabic"/>
          <w:sz w:val="24"/>
          <w:szCs w:val="24"/>
        </w:rPr>
        <w:t xml:space="preserve"> (Wolfe, 2006, p. 388)</w:t>
      </w:r>
      <w:r>
        <w:rPr>
          <w:rFonts w:ascii="Simplified Arabic" w:hAnsi="Simplified Arabic" w:eastAsia="Times New Roman" w:cs="Simplified Arabic"/>
          <w:sz w:val="24"/>
          <w:szCs w:val="24"/>
          <w:rtl/>
        </w:rPr>
        <w:t>، حيث يُستهدف البنية المؤسسية الحاملة للهوية والذاكرة</w:t>
      </w:r>
      <w:r>
        <w:rPr>
          <w:rFonts w:ascii="Simplified Arabic" w:hAnsi="Simplified Arabic" w:eastAsia="Times New Roman" w:cs="Simplified Arabic"/>
          <w:sz w:val="24"/>
          <w:szCs w:val="24"/>
        </w:rPr>
        <w:t>.</w:t>
      </w:r>
    </w:p>
    <w:p w14:paraId="47C0DFC4">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بيانات</w:t>
      </w:r>
      <w:r>
        <w:rPr>
          <w:rFonts w:ascii="Simplified Arabic" w:hAnsi="Simplified Arabic" w:eastAsia="Times New Roman" w:cs="Simplified Arabic"/>
          <w:i/>
          <w:iCs/>
          <w:sz w:val="24"/>
          <w:szCs w:val="24"/>
        </w:rPr>
        <w:t xml:space="preserve"> UNESCO (2024, pp. 45–49), OCHA (2024, pp. 12–15), UNRWA (2024, p. 7), Scholars at Risk (2024, p. 12).</w:t>
      </w:r>
    </w:p>
    <w:p w14:paraId="11D5E839">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ولكشف النمطية النوعية للاستهداف، يبيّن الجدول (3) توزيع الأكاديميين الشهداء حسب التخصص، مما يعكس استهدافاً انتقائياً لحَمَلة الذاكرة والرواية الجمعية</w:t>
      </w:r>
      <w:r>
        <w:rPr>
          <w:rFonts w:ascii="Simplified Arabic" w:hAnsi="Simplified Arabic" w:eastAsia="Times New Roman" w:cs="Simplified Arabic"/>
          <w:b/>
          <w:bCs/>
          <w:sz w:val="24"/>
          <w:szCs w:val="24"/>
        </w:rPr>
        <w:t>.</w:t>
      </w:r>
    </w:p>
    <w:p w14:paraId="13C67EA8">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(3): توزيع الأكاديميين الشهداء حسب التخصص ودلالته المعرفية</w:t>
      </w:r>
      <w:r>
        <w:rPr>
          <w:rFonts w:ascii="Simplified Arabic" w:hAnsi="Simplified Arabic" w:eastAsia="Times New Roman" w:cs="Simplified Arabic"/>
          <w:b/>
          <w:bCs/>
          <w:sz w:val="24"/>
          <w:szCs w:val="24"/>
        </w:rPr>
        <w:t xml:space="preserve"> (n = 107)</w:t>
      </w:r>
    </w:p>
    <w:tbl>
      <w:tblPr>
        <w:tblStyle w:val="13"/>
        <w:tblW w:w="0" w:type="auto"/>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
        <w:gridCol w:w="2725"/>
        <w:gridCol w:w="576"/>
        <w:gridCol w:w="2009"/>
      </w:tblGrid>
      <w:tr w14:paraId="32713DF2">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2FA878D0">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النسبة</w:t>
            </w:r>
          </w:p>
        </w:tc>
        <w:tc>
          <w:tcPr>
            <w:tcW w:w="0" w:type="auto"/>
            <w:tcBorders>
              <w:top w:val="single" w:color="9BBB59" w:themeColor="accent3" w:sz="8" w:space="0"/>
              <w:bottom w:val="single" w:color="9BBB59" w:themeColor="accent3" w:sz="8" w:space="0"/>
              <w:right w:val="nil"/>
              <w:insideH w:val="single" w:sz="8" w:space="0"/>
              <w:insideV w:val="nil"/>
            </w:tcBorders>
          </w:tcPr>
          <w:p w14:paraId="44F9431B">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الدلالة</w:t>
            </w:r>
          </w:p>
        </w:tc>
        <w:tc>
          <w:tcPr>
            <w:tcW w:w="0" w:type="auto"/>
            <w:tcBorders>
              <w:top w:val="single" w:color="9BBB59" w:themeColor="accent3" w:sz="8" w:space="0"/>
              <w:bottom w:val="single" w:color="9BBB59" w:themeColor="accent3" w:sz="8" w:space="0"/>
              <w:right w:val="nil"/>
              <w:insideH w:val="single" w:sz="8" w:space="0"/>
              <w:insideV w:val="nil"/>
            </w:tcBorders>
          </w:tcPr>
          <w:p w14:paraId="1FF2D23A">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العدد</w:t>
            </w:r>
          </w:p>
        </w:tc>
        <w:tc>
          <w:tcPr>
            <w:tcW w:w="0" w:type="auto"/>
            <w:tcBorders>
              <w:top w:val="single" w:color="9BBB59" w:themeColor="accent3" w:sz="8" w:space="0"/>
              <w:bottom w:val="single" w:color="9BBB59" w:themeColor="accent3" w:sz="8" w:space="0"/>
              <w:right w:val="nil"/>
              <w:insideH w:val="single" w:sz="8" w:space="0"/>
              <w:insideV w:val="nil"/>
            </w:tcBorders>
          </w:tcPr>
          <w:p w14:paraId="33B1031C">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التخصص</w:t>
            </w:r>
          </w:p>
        </w:tc>
      </w:tr>
      <w:tr w14:paraId="27DC356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5496AB7D">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59.8%</w:t>
            </w:r>
          </w:p>
        </w:tc>
        <w:tc>
          <w:tcPr>
            <w:tcW w:w="0" w:type="auto"/>
            <w:tcBorders>
              <w:right w:val="nil"/>
              <w:insideV w:val="nil"/>
            </w:tcBorders>
            <w:shd w:val="clear" w:color="auto" w:fill="E6EED5" w:themeFill="accent3" w:themeFillTint="3F"/>
          </w:tcPr>
          <w:p w14:paraId="4421590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استهداف حَمَلة الذاكرة والهوية</w:t>
            </w:r>
          </w:p>
        </w:tc>
        <w:tc>
          <w:tcPr>
            <w:tcW w:w="0" w:type="auto"/>
            <w:tcBorders>
              <w:right w:val="nil"/>
              <w:insideV w:val="nil"/>
            </w:tcBorders>
            <w:shd w:val="clear" w:color="auto" w:fill="E6EED5" w:themeFill="accent3" w:themeFillTint="3F"/>
          </w:tcPr>
          <w:p w14:paraId="07CDCA1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64</w:t>
            </w:r>
          </w:p>
        </w:tc>
        <w:tc>
          <w:tcPr>
            <w:tcW w:w="0" w:type="auto"/>
            <w:tcBorders>
              <w:right w:val="nil"/>
              <w:insideV w:val="nil"/>
            </w:tcBorders>
            <w:shd w:val="clear" w:color="auto" w:fill="E6EED5" w:themeFill="accent3" w:themeFillTint="3F"/>
          </w:tcPr>
          <w:p w14:paraId="331752F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العلوم الإنسانية</w:t>
            </w:r>
          </w:p>
        </w:tc>
      </w:tr>
      <w:tr w14:paraId="1EFC58B1">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6110F92">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16.8%</w:t>
            </w:r>
          </w:p>
        </w:tc>
        <w:tc>
          <w:tcPr>
            <w:tcW w:w="0" w:type="auto"/>
          </w:tcPr>
          <w:p w14:paraId="19C8BCC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استهداف منتجي الخطاب الجمعي</w:t>
            </w:r>
          </w:p>
        </w:tc>
        <w:tc>
          <w:tcPr>
            <w:tcW w:w="0" w:type="auto"/>
          </w:tcPr>
          <w:p w14:paraId="02EC7A2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18</w:t>
            </w:r>
          </w:p>
        </w:tc>
        <w:tc>
          <w:tcPr>
            <w:tcW w:w="0" w:type="auto"/>
          </w:tcPr>
          <w:p w14:paraId="137A9DE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العلوم الاجتماعية</w:t>
            </w:r>
          </w:p>
        </w:tc>
      </w:tr>
      <w:tr w14:paraId="056D5E4C">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7907A177">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15.9%</w:t>
            </w:r>
          </w:p>
        </w:tc>
        <w:tc>
          <w:tcPr>
            <w:tcW w:w="0" w:type="auto"/>
            <w:tcBorders>
              <w:right w:val="nil"/>
              <w:insideV w:val="nil"/>
            </w:tcBorders>
            <w:shd w:val="clear" w:color="auto" w:fill="E6EED5" w:themeFill="accent3" w:themeFillTint="3F"/>
          </w:tcPr>
          <w:p w14:paraId="479830D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استهداف البنية التقنية</w:t>
            </w:r>
          </w:p>
        </w:tc>
        <w:tc>
          <w:tcPr>
            <w:tcW w:w="0" w:type="auto"/>
            <w:tcBorders>
              <w:right w:val="nil"/>
              <w:insideV w:val="nil"/>
            </w:tcBorders>
            <w:shd w:val="clear" w:color="auto" w:fill="E6EED5" w:themeFill="accent3" w:themeFillTint="3F"/>
          </w:tcPr>
          <w:p w14:paraId="7449879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17</w:t>
            </w:r>
          </w:p>
        </w:tc>
        <w:tc>
          <w:tcPr>
            <w:tcW w:w="0" w:type="auto"/>
            <w:tcBorders>
              <w:right w:val="nil"/>
              <w:insideV w:val="nil"/>
            </w:tcBorders>
            <w:shd w:val="clear" w:color="auto" w:fill="E6EED5" w:themeFill="accent3" w:themeFillTint="3F"/>
          </w:tcPr>
          <w:p w14:paraId="7182F77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العلوم الطبيعية والهندسة</w:t>
            </w:r>
          </w:p>
        </w:tc>
      </w:tr>
      <w:tr w14:paraId="254D926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B22035E">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7.5%</w:t>
            </w:r>
          </w:p>
        </w:tc>
        <w:tc>
          <w:tcPr>
            <w:tcW w:w="0" w:type="auto"/>
          </w:tcPr>
          <w:p w14:paraId="2624EB3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استهداف الكوادر الصحية</w:t>
            </w:r>
          </w:p>
        </w:tc>
        <w:tc>
          <w:tcPr>
            <w:tcW w:w="0" w:type="auto"/>
          </w:tcPr>
          <w:p w14:paraId="7095E7D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w:t>
            </w:r>
          </w:p>
        </w:tc>
        <w:tc>
          <w:tcPr>
            <w:tcW w:w="0" w:type="auto"/>
          </w:tcPr>
          <w:p w14:paraId="675EBCB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العلوم الطبية</w:t>
            </w:r>
          </w:p>
        </w:tc>
      </w:tr>
    </w:tbl>
    <w:p w14:paraId="6AC568D5">
      <w:pPr>
        <w:bidi/>
        <w:spacing w:before="100" w:beforeAutospacing="1" w:after="100" w:afterAutospacing="1" w:line="240" w:lineRule="auto"/>
        <w:rPr>
          <w:rFonts w:hint="cs" w:ascii="Simplified Arabic" w:hAnsi="Simplified Arabic" w:eastAsia="Times New Roman" w:cs="Simplified Arabic"/>
          <w:sz w:val="24"/>
          <w:szCs w:val="24"/>
          <w:rtl/>
        </w:rPr>
      </w:pPr>
      <w:r>
        <w:rPr>
          <w:rFonts w:ascii="Simplified Arabic" w:hAnsi="Simplified Arabic" w:eastAsia="Times New Roman" w:cs="Simplified Arabic"/>
          <w:sz w:val="24"/>
          <w:szCs w:val="24"/>
          <w:rtl/>
        </w:rPr>
        <w:t>يوضح الجدول (3) أن النسبة الأعلى من الشهداء كانت في العلوم الإنسانية (59.8%)، وهو ما يعكس استهدافاً موجهاً نحو الفئات الأكاديمية التي تحفظ الذاكرة الجمعية وتعيد إنتاج الهوية الوطنية. هذا النمط يتسق مع فرضية «الإبادة المعرفية</w:t>
      </w:r>
      <w:r>
        <w:rPr>
          <w:rFonts w:ascii="Simplified Arabic" w:hAnsi="Simplified Arabic" w:eastAsia="Times New Roman" w:cs="Simplified Arabic"/>
          <w:sz w:val="24"/>
          <w:szCs w:val="24"/>
        </w:rPr>
        <w:t>» (Epistemic Genocide)</w:t>
      </w:r>
      <w:r>
        <w:rPr>
          <w:rFonts w:ascii="Simplified Arabic" w:hAnsi="Simplified Arabic" w:eastAsia="Times New Roman" w:cs="Simplified Arabic"/>
          <w:sz w:val="24"/>
          <w:szCs w:val="24"/>
          <w:rtl/>
        </w:rPr>
        <w:t>، حيث لا يقتصر الاستهداف على البنية المادية للمؤسسات التعليمية، بل يمتد إلى الكوادر التي تمثل الحامل الرئيس للرواية الفلسطينية</w:t>
      </w:r>
      <w:r>
        <w:rPr>
          <w:rFonts w:ascii="Simplified Arabic" w:hAnsi="Simplified Arabic" w:eastAsia="Times New Roman" w:cs="Simplified Arabic"/>
          <w:sz w:val="24"/>
          <w:szCs w:val="24"/>
        </w:rPr>
        <w:t>.</w:t>
      </w:r>
    </w:p>
    <w:p w14:paraId="75CA162F">
      <w:pPr>
        <w:numPr>
          <w:ilvl w:val="0"/>
          <w:numId w:val="6"/>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 xml:space="preserve">النسبة الأعلى في العلوم الإنسانية (59.8%) </w:t>
      </w:r>
      <w:r>
        <w:rPr>
          <w:rFonts w:hint="cs" w:ascii="Times New Roman" w:hAnsi="Times New Roman" w:eastAsia="Times New Roman" w:cs="Times New Roman"/>
          <w:sz w:val="24"/>
          <w:szCs w:val="24"/>
          <w:rtl/>
        </w:rPr>
        <w:t>→</w:t>
      </w:r>
      <w:r>
        <w:rPr>
          <w:rFonts w:ascii="Simplified Arabic" w:hAnsi="Simplified Arabic" w:eastAsia="Times New Roman" w:cs="Simplified Arabic"/>
          <w:sz w:val="24"/>
          <w:szCs w:val="24"/>
          <w:rtl/>
        </w:rPr>
        <w:t xml:space="preserve"> </w:t>
      </w:r>
      <w:r>
        <w:rPr>
          <w:rFonts w:hint="cs" w:ascii="Simplified Arabic" w:hAnsi="Simplified Arabic" w:eastAsia="Times New Roman" w:cs="Simplified Arabic"/>
          <w:sz w:val="24"/>
          <w:szCs w:val="24"/>
          <w:rtl/>
        </w:rPr>
        <w:t>استهداف</w:t>
      </w:r>
      <w:r>
        <w:rPr>
          <w:rFonts w:ascii="Simplified Arabic" w:hAnsi="Simplified Arabic" w:eastAsia="Times New Roman" w:cs="Simplified Arabic"/>
          <w:sz w:val="24"/>
          <w:szCs w:val="24"/>
          <w:rtl/>
        </w:rPr>
        <w:t xml:space="preserve"> </w:t>
      </w:r>
      <w:r>
        <w:rPr>
          <w:rFonts w:hint="cs" w:ascii="Simplified Arabic" w:hAnsi="Simplified Arabic" w:eastAsia="Times New Roman" w:cs="Simplified Arabic"/>
          <w:sz w:val="24"/>
          <w:szCs w:val="24"/>
          <w:rtl/>
        </w:rPr>
        <w:t>حَمَلة</w:t>
      </w:r>
      <w:r>
        <w:rPr>
          <w:rFonts w:ascii="Simplified Arabic" w:hAnsi="Simplified Arabic" w:eastAsia="Times New Roman" w:cs="Simplified Arabic"/>
          <w:sz w:val="24"/>
          <w:szCs w:val="24"/>
          <w:rtl/>
        </w:rPr>
        <w:t xml:space="preserve"> </w:t>
      </w:r>
      <w:r>
        <w:rPr>
          <w:rFonts w:hint="cs" w:ascii="Simplified Arabic" w:hAnsi="Simplified Arabic" w:eastAsia="Times New Roman" w:cs="Simplified Arabic"/>
          <w:sz w:val="24"/>
          <w:szCs w:val="24"/>
          <w:rtl/>
        </w:rPr>
        <w:t>الذاكرة</w:t>
      </w:r>
      <w:r>
        <w:rPr>
          <w:rFonts w:ascii="Simplified Arabic" w:hAnsi="Simplified Arabic" w:eastAsia="Times New Roman" w:cs="Simplified Arabic"/>
          <w:sz w:val="24"/>
          <w:szCs w:val="24"/>
          <w:rtl/>
        </w:rPr>
        <w:t xml:space="preserve"> </w:t>
      </w:r>
      <w:r>
        <w:rPr>
          <w:rFonts w:hint="cs" w:ascii="Simplified Arabic" w:hAnsi="Simplified Arabic" w:eastAsia="Times New Roman" w:cs="Simplified Arabic"/>
          <w:sz w:val="24"/>
          <w:szCs w:val="24"/>
          <w:rtl/>
        </w:rPr>
        <w:t>والهوية</w:t>
      </w:r>
      <w:r>
        <w:rPr>
          <w:rFonts w:ascii="Simplified Arabic" w:hAnsi="Simplified Arabic" w:eastAsia="Times New Roman" w:cs="Simplified Arabic"/>
          <w:sz w:val="24"/>
          <w:szCs w:val="24"/>
        </w:rPr>
        <w:t>.</w:t>
      </w:r>
    </w:p>
    <w:p w14:paraId="0DF246C8">
      <w:pPr>
        <w:numPr>
          <w:ilvl w:val="0"/>
          <w:numId w:val="6"/>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Pr>
        <w:t xml:space="preserve">(n) = </w:t>
      </w:r>
      <w:r>
        <w:rPr>
          <w:rFonts w:ascii="Simplified Arabic" w:hAnsi="Simplified Arabic" w:eastAsia="Times New Roman" w:cs="Simplified Arabic"/>
          <w:sz w:val="24"/>
          <w:szCs w:val="24"/>
          <w:rtl/>
        </w:rPr>
        <w:t>عدد الشهداء في كل تخصص، (%) = نسبة من الإجمالي</w:t>
      </w:r>
      <w:r>
        <w:rPr>
          <w:rFonts w:ascii="Simplified Arabic" w:hAnsi="Simplified Arabic" w:eastAsia="Times New Roman" w:cs="Simplified Arabic"/>
          <w:sz w:val="24"/>
          <w:szCs w:val="24"/>
        </w:rPr>
        <w:t>.</w:t>
      </w:r>
    </w:p>
    <w:p w14:paraId="40792B2E">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 xml:space="preserve">يتوافق مع فرضية </w:t>
      </w:r>
      <w:r>
        <w:rPr>
          <w:rFonts w:ascii="Simplified Arabic" w:hAnsi="Simplified Arabic" w:eastAsia="Times New Roman" w:cs="Simplified Arabic"/>
          <w:b/>
          <w:bCs/>
          <w:sz w:val="24"/>
          <w:szCs w:val="24"/>
          <w:rtl/>
        </w:rPr>
        <w:t>الإبادة المعرفية</w:t>
      </w:r>
      <w:r>
        <w:rPr>
          <w:rFonts w:ascii="Simplified Arabic" w:hAnsi="Simplified Arabic" w:eastAsia="Times New Roman" w:cs="Simplified Arabic"/>
          <w:sz w:val="24"/>
          <w:szCs w:val="24"/>
          <w:rtl/>
        </w:rPr>
        <w:t xml:space="preserve"> </w:t>
      </w:r>
      <w:r>
        <w:rPr>
          <w:rFonts w:ascii="Simplified Arabic" w:hAnsi="Simplified Arabic" w:eastAsia="Times New Roman" w:cs="Simplified Arabic"/>
          <w:sz w:val="24"/>
          <w:szCs w:val="24"/>
        </w:rPr>
        <w:t>(Epistemic Genocide).</w:t>
      </w:r>
    </w:p>
    <w:p w14:paraId="33F79150">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بيانات</w:t>
      </w:r>
      <w:r>
        <w:rPr>
          <w:rFonts w:ascii="Simplified Arabic" w:hAnsi="Simplified Arabic" w:eastAsia="Times New Roman" w:cs="Simplified Arabic"/>
          <w:i/>
          <w:iCs/>
          <w:sz w:val="24"/>
          <w:szCs w:val="24"/>
        </w:rPr>
        <w:t xml:space="preserve"> Scholars at Risk (2024, p. 12).</w:t>
      </w:r>
    </w:p>
    <w:p w14:paraId="02A14B30">
      <w:pPr>
        <w:bidi/>
        <w:spacing w:before="100" w:beforeAutospacing="1" w:after="100" w:afterAutospacing="1" w:line="240" w:lineRule="auto"/>
        <w:ind w:left="360"/>
        <w:rPr>
          <w:rStyle w:val="11"/>
          <w:rFonts w:ascii="Simplified Arabic" w:hAnsi="Simplified Arabic" w:eastAsia="Times New Roman" w:cs="Simplified Arabic"/>
          <w:b w:val="0"/>
          <w:bCs w:val="0"/>
          <w:sz w:val="24"/>
          <w:szCs w:val="24"/>
        </w:rPr>
      </w:pPr>
    </w:p>
    <w:p w14:paraId="5ED0C8E8">
      <w:pPr>
        <w:pStyle w:val="10"/>
        <w:bidi/>
        <w:rPr>
          <w:rFonts w:ascii="Simplified Arabic" w:hAnsi="Simplified Arabic" w:cs="Simplified Arabic"/>
        </w:rPr>
      </w:pPr>
      <w:r>
        <w:rPr>
          <w:rStyle w:val="11"/>
          <w:rFonts w:ascii="Simplified Arabic" w:hAnsi="Simplified Arabic" w:cs="Simplified Arabic"/>
          <w:rtl/>
        </w:rPr>
        <w:t>جدول (4): الخسارة الأرشيفية – مكتبة الجامعة الإسلامية</w:t>
      </w:r>
    </w:p>
    <w:tbl>
      <w:tblPr>
        <w:tblStyle w:val="13"/>
        <w:tblW w:w="0" w:type="auto"/>
        <w:jc w:val="right"/>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1"/>
        <w:gridCol w:w="1160"/>
        <w:gridCol w:w="2944"/>
      </w:tblGrid>
      <w:tr w14:paraId="2794BC08">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Borders>
              <w:top w:val="single" w:color="9BBB59" w:themeColor="accent3" w:sz="8" w:space="0"/>
              <w:left w:val="nil"/>
              <w:bottom w:val="single" w:color="9BBB59" w:themeColor="accent3" w:sz="8" w:space="0"/>
              <w:right w:val="nil"/>
              <w:insideH w:val="single" w:sz="8" w:space="0"/>
              <w:insideV w:val="nil"/>
            </w:tcBorders>
          </w:tcPr>
          <w:p w14:paraId="63FD3C08">
            <w:pPr>
              <w:bidi/>
              <w:spacing w:before="0" w:after="0" w:line="240" w:lineRule="auto"/>
              <w:rPr>
                <w:rFonts w:ascii="Simplified Arabic" w:hAnsi="Simplified Arabic" w:cs="Simplified Arabic"/>
                <w:b/>
                <w:bCs/>
                <w:color w:val="auto"/>
                <w:sz w:val="24"/>
                <w:szCs w:val="24"/>
              </w:rPr>
            </w:pPr>
            <w:r>
              <w:rPr>
                <w:rFonts w:ascii="Simplified Arabic" w:hAnsi="Simplified Arabic" w:cs="Simplified Arabic"/>
                <w:b w:val="0"/>
                <w:bCs w:val="0"/>
                <w:color w:val="auto"/>
                <w:sz w:val="24"/>
                <w:szCs w:val="24"/>
                <w:rtl/>
              </w:rPr>
              <w:t>نوع المادة</w:t>
            </w:r>
          </w:p>
        </w:tc>
        <w:tc>
          <w:tcPr>
            <w:tcW w:w="0" w:type="auto"/>
            <w:tcBorders>
              <w:top w:val="single" w:color="9BBB59" w:themeColor="accent3" w:sz="8" w:space="0"/>
              <w:bottom w:val="single" w:color="9BBB59" w:themeColor="accent3" w:sz="8" w:space="0"/>
              <w:right w:val="nil"/>
              <w:insideH w:val="single" w:sz="8" w:space="0"/>
              <w:insideV w:val="nil"/>
            </w:tcBorders>
          </w:tcPr>
          <w:p w14:paraId="6AA523FC">
            <w:pPr>
              <w:bidi/>
              <w:spacing w:before="0" w:after="0" w:line="240" w:lineRule="auto"/>
              <w:rPr>
                <w:rFonts w:ascii="Simplified Arabic" w:hAnsi="Simplified Arabic" w:cs="Simplified Arabic"/>
                <w:b/>
                <w:bCs/>
                <w:color w:val="auto"/>
                <w:sz w:val="24"/>
                <w:szCs w:val="24"/>
              </w:rPr>
            </w:pPr>
            <w:r>
              <w:rPr>
                <w:rFonts w:ascii="Simplified Arabic" w:hAnsi="Simplified Arabic" w:cs="Simplified Arabic"/>
                <w:b w:val="0"/>
                <w:bCs w:val="0"/>
                <w:color w:val="auto"/>
                <w:sz w:val="24"/>
                <w:szCs w:val="24"/>
                <w:rtl/>
              </w:rPr>
              <w:t>العدد المُدمَّر</w:t>
            </w:r>
          </w:p>
        </w:tc>
        <w:tc>
          <w:tcPr>
            <w:tcW w:w="0" w:type="auto"/>
            <w:tcBorders>
              <w:top w:val="single" w:color="9BBB59" w:themeColor="accent3" w:sz="8" w:space="0"/>
              <w:bottom w:val="single" w:color="9BBB59" w:themeColor="accent3" w:sz="8" w:space="0"/>
              <w:right w:val="nil"/>
              <w:insideH w:val="single" w:sz="8" w:space="0"/>
              <w:insideV w:val="nil"/>
            </w:tcBorders>
          </w:tcPr>
          <w:p w14:paraId="1B68EF52">
            <w:pPr>
              <w:bidi/>
              <w:spacing w:before="0" w:after="0" w:line="240" w:lineRule="auto"/>
              <w:rPr>
                <w:rFonts w:ascii="Simplified Arabic" w:hAnsi="Simplified Arabic" w:cs="Simplified Arabic"/>
                <w:b/>
                <w:bCs/>
                <w:color w:val="auto"/>
                <w:sz w:val="24"/>
                <w:szCs w:val="24"/>
              </w:rPr>
            </w:pPr>
            <w:r>
              <w:rPr>
                <w:rFonts w:ascii="Simplified Arabic" w:hAnsi="Simplified Arabic" w:cs="Simplified Arabic"/>
                <w:b w:val="0"/>
                <w:bCs w:val="0"/>
                <w:color w:val="auto"/>
                <w:sz w:val="24"/>
                <w:szCs w:val="24"/>
                <w:rtl/>
              </w:rPr>
              <w:t>القيمة المعرفية</w:t>
            </w:r>
          </w:p>
        </w:tc>
      </w:tr>
      <w:tr w14:paraId="6EE41B2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Borders>
              <w:left w:val="nil"/>
              <w:right w:val="nil"/>
              <w:insideV w:val="nil"/>
            </w:tcBorders>
            <w:shd w:val="clear" w:color="auto" w:fill="E6EED5" w:themeFill="accent3" w:themeFillTint="3F"/>
          </w:tcPr>
          <w:p w14:paraId="125F6B8A">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كتب</w:t>
            </w:r>
          </w:p>
        </w:tc>
        <w:tc>
          <w:tcPr>
            <w:tcW w:w="0" w:type="auto"/>
            <w:tcBorders>
              <w:right w:val="nil"/>
              <w:insideV w:val="nil"/>
            </w:tcBorders>
            <w:shd w:val="clear" w:color="auto" w:fill="E6EED5" w:themeFill="accent3" w:themeFillTint="3F"/>
          </w:tcPr>
          <w:p w14:paraId="6C2F1702">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~120,000</w:t>
            </w:r>
          </w:p>
        </w:tc>
        <w:tc>
          <w:tcPr>
            <w:tcW w:w="0" w:type="auto"/>
            <w:tcBorders>
              <w:right w:val="nil"/>
              <w:insideV w:val="nil"/>
            </w:tcBorders>
            <w:shd w:val="clear" w:color="auto" w:fill="E6EED5" w:themeFill="accent3" w:themeFillTint="3F"/>
          </w:tcPr>
          <w:p w14:paraId="27132DA7">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tl/>
              </w:rPr>
              <w:t>موسوعة معرفية شاملة</w:t>
            </w:r>
          </w:p>
        </w:tc>
      </w:tr>
      <w:tr w14:paraId="2A9A7BB8">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Pr>
          <w:p w14:paraId="1CF2916F">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رسائل ماجستير</w:t>
            </w:r>
          </w:p>
        </w:tc>
        <w:tc>
          <w:tcPr>
            <w:tcW w:w="0" w:type="auto"/>
          </w:tcPr>
          <w:p w14:paraId="53C8ED8F">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~3,200</w:t>
            </w:r>
          </w:p>
        </w:tc>
        <w:tc>
          <w:tcPr>
            <w:tcW w:w="0" w:type="auto"/>
          </w:tcPr>
          <w:p w14:paraId="7BA9DEBD">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 xml:space="preserve">35 </w:t>
            </w:r>
            <w:r>
              <w:rPr>
                <w:rFonts w:ascii="Simplified Arabic" w:hAnsi="Simplified Arabic" w:cs="Simplified Arabic"/>
                <w:color w:val="auto"/>
                <w:sz w:val="24"/>
                <w:szCs w:val="24"/>
                <w:rtl/>
              </w:rPr>
              <w:t>عاماً من البحث الأكاديمي</w:t>
            </w:r>
          </w:p>
        </w:tc>
      </w:tr>
      <w:tr w14:paraId="1D75510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Borders>
              <w:left w:val="nil"/>
              <w:right w:val="nil"/>
              <w:insideV w:val="nil"/>
            </w:tcBorders>
            <w:shd w:val="clear" w:color="auto" w:fill="E6EED5" w:themeFill="accent3" w:themeFillTint="3F"/>
          </w:tcPr>
          <w:p w14:paraId="717F9BBD">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أطروحات دكتوراه</w:t>
            </w:r>
          </w:p>
        </w:tc>
        <w:tc>
          <w:tcPr>
            <w:tcW w:w="0" w:type="auto"/>
            <w:tcBorders>
              <w:right w:val="nil"/>
              <w:insideV w:val="nil"/>
            </w:tcBorders>
            <w:shd w:val="clear" w:color="auto" w:fill="E6EED5" w:themeFill="accent3" w:themeFillTint="3F"/>
          </w:tcPr>
          <w:p w14:paraId="52D6DAB1">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~450</w:t>
            </w:r>
          </w:p>
        </w:tc>
        <w:tc>
          <w:tcPr>
            <w:tcW w:w="0" w:type="auto"/>
            <w:tcBorders>
              <w:right w:val="nil"/>
              <w:insideV w:val="nil"/>
            </w:tcBorders>
            <w:shd w:val="clear" w:color="auto" w:fill="E6EED5" w:themeFill="accent3" w:themeFillTint="3F"/>
          </w:tcPr>
          <w:p w14:paraId="5D6D036A">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tl/>
              </w:rPr>
              <w:t>إنتاج معرفي متقدم</w:t>
            </w:r>
          </w:p>
        </w:tc>
      </w:tr>
      <w:tr w14:paraId="58F30AD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Pr>
          <w:p w14:paraId="2824397B">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أرشيف صحفي</w:t>
            </w:r>
          </w:p>
        </w:tc>
        <w:tc>
          <w:tcPr>
            <w:tcW w:w="0" w:type="auto"/>
          </w:tcPr>
          <w:p w14:paraId="5D4051CC">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 xml:space="preserve">76 </w:t>
            </w:r>
            <w:r>
              <w:rPr>
                <w:rFonts w:ascii="Simplified Arabic" w:hAnsi="Simplified Arabic" w:cs="Simplified Arabic"/>
                <w:color w:val="auto"/>
                <w:sz w:val="24"/>
                <w:szCs w:val="24"/>
                <w:rtl/>
              </w:rPr>
              <w:t>عاماً</w:t>
            </w:r>
          </w:p>
        </w:tc>
        <w:tc>
          <w:tcPr>
            <w:tcW w:w="0" w:type="auto"/>
          </w:tcPr>
          <w:p w14:paraId="7A4EAEE7">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tl/>
              </w:rPr>
              <w:t>ذاكرة تاريخية لا يمكن تعويضها</w:t>
            </w:r>
          </w:p>
        </w:tc>
      </w:tr>
      <w:tr w14:paraId="3A8EAAC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Borders>
              <w:left w:val="nil"/>
              <w:right w:val="nil"/>
              <w:insideV w:val="nil"/>
            </w:tcBorders>
            <w:shd w:val="clear" w:color="auto" w:fill="E6EED5" w:themeFill="accent3" w:themeFillTint="3F"/>
          </w:tcPr>
          <w:p w14:paraId="1B9A644C">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مخطوطات</w:t>
            </w:r>
          </w:p>
        </w:tc>
        <w:tc>
          <w:tcPr>
            <w:tcW w:w="0" w:type="auto"/>
            <w:tcBorders>
              <w:right w:val="nil"/>
              <w:insideV w:val="nil"/>
            </w:tcBorders>
            <w:shd w:val="clear" w:color="auto" w:fill="E6EED5" w:themeFill="accent3" w:themeFillTint="3F"/>
          </w:tcPr>
          <w:p w14:paraId="0E6E7042">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~230</w:t>
            </w:r>
          </w:p>
        </w:tc>
        <w:tc>
          <w:tcPr>
            <w:tcW w:w="0" w:type="auto"/>
            <w:tcBorders>
              <w:right w:val="nil"/>
              <w:insideV w:val="nil"/>
            </w:tcBorders>
            <w:shd w:val="clear" w:color="auto" w:fill="E6EED5" w:themeFill="accent3" w:themeFillTint="3F"/>
          </w:tcPr>
          <w:p w14:paraId="344404CB">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tl/>
              </w:rPr>
              <w:t>تراث إسلامي وفلسطيني نادر</w:t>
            </w:r>
          </w:p>
        </w:tc>
      </w:tr>
      <w:tr w14:paraId="5C0AC6DB">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0" w:type="auto"/>
          </w:tcPr>
          <w:p w14:paraId="1591BF98">
            <w:pPr>
              <w:bidi/>
              <w:spacing w:after="0" w:line="240" w:lineRule="auto"/>
              <w:rPr>
                <w:rFonts w:ascii="Simplified Arabic" w:hAnsi="Simplified Arabic" w:cs="Simplified Arabic"/>
                <w:b/>
                <w:bCs/>
                <w:color w:val="auto"/>
                <w:sz w:val="24"/>
                <w:szCs w:val="24"/>
              </w:rPr>
            </w:pPr>
            <w:r>
              <w:rPr>
                <w:rFonts w:ascii="Simplified Arabic" w:hAnsi="Simplified Arabic" w:cs="Simplified Arabic"/>
                <w:b/>
                <w:bCs/>
                <w:color w:val="auto"/>
                <w:sz w:val="24"/>
                <w:szCs w:val="24"/>
                <w:rtl/>
              </w:rPr>
              <w:t>خرائط تاريخية</w:t>
            </w:r>
          </w:p>
        </w:tc>
        <w:tc>
          <w:tcPr>
            <w:tcW w:w="0" w:type="auto"/>
          </w:tcPr>
          <w:p w14:paraId="635673F5">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Pr>
              <w:t>~180</w:t>
            </w:r>
          </w:p>
        </w:tc>
        <w:tc>
          <w:tcPr>
            <w:tcW w:w="0" w:type="auto"/>
          </w:tcPr>
          <w:p w14:paraId="18161279">
            <w:pPr>
              <w:bidi/>
              <w:spacing w:after="0" w:line="240" w:lineRule="auto"/>
              <w:rPr>
                <w:rFonts w:ascii="Simplified Arabic" w:hAnsi="Simplified Arabic" w:cs="Simplified Arabic"/>
                <w:color w:val="auto"/>
                <w:sz w:val="24"/>
                <w:szCs w:val="24"/>
              </w:rPr>
            </w:pPr>
            <w:r>
              <w:rPr>
                <w:rFonts w:ascii="Simplified Arabic" w:hAnsi="Simplified Arabic" w:cs="Simplified Arabic"/>
                <w:color w:val="auto"/>
                <w:sz w:val="24"/>
                <w:szCs w:val="24"/>
                <w:rtl/>
              </w:rPr>
              <w:t>توثيق جغرافي لفلسطين ما قبل النكبة</w:t>
            </w:r>
          </w:p>
        </w:tc>
      </w:tr>
    </w:tbl>
    <w:p w14:paraId="4CD51913">
      <w:pPr>
        <w:numPr>
          <w:ilvl w:val="0"/>
          <w:numId w:val="7"/>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الأرقام تقريبية مأخوذة من تقارير الجامعة الإسلامية</w:t>
      </w:r>
      <w:r>
        <w:rPr>
          <w:rFonts w:ascii="Simplified Arabic" w:hAnsi="Simplified Arabic" w:eastAsia="Times New Roman" w:cs="Simplified Arabic"/>
          <w:sz w:val="24"/>
          <w:szCs w:val="24"/>
        </w:rPr>
        <w:t>.</w:t>
      </w:r>
    </w:p>
    <w:p w14:paraId="27BDE6DE">
      <w:pPr>
        <w:numPr>
          <w:ilvl w:val="0"/>
          <w:numId w:val="7"/>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تدمير ~120,000 كتاب، آلاف الرسائل والأطروحات، وأرشيف صحفي يمتد 76 عاماً</w:t>
      </w:r>
      <w:r>
        <w:rPr>
          <w:rFonts w:ascii="Simplified Arabic" w:hAnsi="Simplified Arabic" w:eastAsia="Times New Roman" w:cs="Simplified Arabic"/>
          <w:sz w:val="24"/>
          <w:szCs w:val="24"/>
        </w:rPr>
        <w:t>.</w:t>
      </w:r>
    </w:p>
    <w:p w14:paraId="7A9550EF">
      <w:pPr>
        <w:numPr>
          <w:ilvl w:val="0"/>
          <w:numId w:val="7"/>
        </w:num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وفق</w:t>
      </w:r>
      <w:r>
        <w:rPr>
          <w:rFonts w:ascii="Simplified Arabic" w:hAnsi="Simplified Arabic" w:eastAsia="Times New Roman" w:cs="Simplified Arabic"/>
          <w:sz w:val="24"/>
          <w:szCs w:val="24"/>
        </w:rPr>
        <w:t xml:space="preserve"> Halbwachs (1992)</w:t>
      </w:r>
      <w:r>
        <w:rPr>
          <w:rFonts w:ascii="Simplified Arabic" w:hAnsi="Simplified Arabic" w:eastAsia="Times New Roman" w:cs="Simplified Arabic"/>
          <w:sz w:val="24"/>
          <w:szCs w:val="24"/>
          <w:rtl/>
        </w:rPr>
        <w:t>، المكتبات والأرشيفات هي أوعية الذاكرة الجماعية، وتدميرها = قتل الذاكرة ذاتها</w:t>
      </w:r>
      <w:r>
        <w:rPr>
          <w:rFonts w:ascii="Simplified Arabic" w:hAnsi="Simplified Arabic" w:eastAsia="Times New Roman" w:cs="Simplified Arabic"/>
          <w:sz w:val="24"/>
          <w:szCs w:val="24"/>
        </w:rPr>
        <w:t>.</w:t>
      </w:r>
    </w:p>
    <w:p w14:paraId="5FC9B76C">
      <w:pPr>
        <w:bidi/>
        <w:spacing w:line="240" w:lineRule="auto"/>
        <w:rPr>
          <w:rFonts w:ascii="Simplified Arabic" w:hAnsi="Simplified Arabic" w:cs="Simplified Arabic"/>
          <w:sz w:val="24"/>
          <w:szCs w:val="24"/>
        </w:rPr>
      </w:pPr>
      <w:r>
        <w:rPr>
          <w:rFonts w:ascii="Simplified Arabic" w:hAnsi="Simplified Arabic" w:cs="Simplified Arabic"/>
          <w:sz w:val="24"/>
          <w:szCs w:val="24"/>
        </w:rPr>
        <w:pict>
          <v:rect id="_x0000_i1025" o:spt="1" style="height:1.5pt;width:0pt;" fillcolor="#A0A0A0" filled="t" stroked="f" coordsize="21600,21600" o:hr="t" o:hrstd="t" o:hralign="right">
            <v:path/>
            <v:fill on="t" focussize="0,0"/>
            <v:stroke on="f"/>
            <v:imagedata o:title=""/>
            <o:lock v:ext="edit"/>
            <w10:wrap type="none"/>
            <w10:anchorlock/>
          </v:rect>
        </w:pict>
      </w:r>
    </w:p>
    <w:p w14:paraId="0E3C1C52">
      <w:pPr>
        <w:pStyle w:val="4"/>
        <w:bidi/>
        <w:rPr>
          <w:rFonts w:hint="cs" w:ascii="Simplified Arabic" w:hAnsi="Simplified Arabic" w:cs="Simplified Arabic"/>
          <w:sz w:val="24"/>
          <w:szCs w:val="24"/>
          <w:rtl/>
        </w:rPr>
      </w:pPr>
      <w:r>
        <w:rPr>
          <w:rFonts w:ascii="Simplified Arabic" w:hAnsi="Simplified Arabic" w:cs="Simplified Arabic"/>
          <w:sz w:val="24"/>
          <w:szCs w:val="24"/>
        </w:rPr>
        <w:t xml:space="preserve">2.2 </w:t>
      </w:r>
      <w:r>
        <w:rPr>
          <w:rFonts w:ascii="Simplified Arabic" w:hAnsi="Simplified Arabic" w:cs="Simplified Arabic"/>
          <w:sz w:val="24"/>
          <w:szCs w:val="24"/>
          <w:rtl/>
        </w:rPr>
        <w:t>حالة القدس – الإبادة المعرفية البطيئة</w:t>
      </w:r>
    </w:p>
    <w:p w14:paraId="78BB3035">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tl/>
        </w:rPr>
        <w:t>إبادة التعليم في القدس: العنف البطيء وسياسات فرض المناهج</w:t>
      </w:r>
    </w:p>
    <w:p w14:paraId="6A1DB195">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في إجابة عن الشق الثاني من السؤال الأول، يوضح الجدول (5) تصاعد سياسات فرض المناهج الإسرائيلية المحرّفة على مدارس القدس بين عامي 2015 و2024</w:t>
      </w:r>
      <w:r>
        <w:rPr>
          <w:rFonts w:ascii="Simplified Arabic" w:hAnsi="Simplified Arabic" w:eastAsia="Times New Roman" w:cs="Simplified Arabic"/>
          <w:b/>
          <w:bCs/>
          <w:sz w:val="24"/>
          <w:szCs w:val="24"/>
        </w:rPr>
        <w:t>.</w:t>
      </w:r>
    </w:p>
    <w:p w14:paraId="0F6EB33D">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(5): تصاعد سياسات فرض المناهج في مدارس القدس (2015–2024</w:t>
      </w:r>
      <w:r>
        <w:rPr>
          <w:rFonts w:hint="cs" w:ascii="Simplified Arabic" w:hAnsi="Simplified Arabic" w:eastAsia="Times New Roman" w:cs="Simplified Arabic"/>
          <w:b/>
          <w:bCs/>
          <w:sz w:val="24"/>
          <w:szCs w:val="24"/>
          <w:rtl/>
        </w:rPr>
        <w:t>)</w:t>
      </w:r>
    </w:p>
    <w:tbl>
      <w:tblPr>
        <w:tblStyle w:val="13"/>
        <w:tblW w:w="8835" w:type="dxa"/>
        <w:tblInd w:w="27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56"/>
        <w:gridCol w:w="1236"/>
        <w:gridCol w:w="1236"/>
        <w:gridCol w:w="2017"/>
        <w:gridCol w:w="1469"/>
        <w:gridCol w:w="721"/>
      </w:tblGrid>
      <w:tr w14:paraId="008C4FB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5B1553F5">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المصدر</w:t>
            </w:r>
          </w:p>
        </w:tc>
        <w:tc>
          <w:tcPr>
            <w:tcW w:w="0" w:type="auto"/>
            <w:tcBorders>
              <w:top w:val="single" w:color="9BBB59" w:themeColor="accent3" w:sz="8" w:space="0"/>
              <w:bottom w:val="single" w:color="9BBB59" w:themeColor="accent3" w:sz="8" w:space="0"/>
              <w:right w:val="nil"/>
              <w:insideH w:val="single" w:sz="8" w:space="0"/>
              <w:insideV w:val="nil"/>
            </w:tcBorders>
          </w:tcPr>
          <w:p w14:paraId="11A41192">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قبلت (نسبة</w:t>
            </w:r>
            <w:r>
              <w:rPr>
                <w:rFonts w:hint="cs" w:ascii="Simplified Arabic" w:hAnsi="Simplified Arabic" w:eastAsia="Times New Roman" w:cs="Simplified Arabic"/>
                <w:b/>
                <w:bCs/>
                <w:color w:val="77933C" w:themeColor="accent3" w:themeShade="BF"/>
                <w:sz w:val="24"/>
                <w:szCs w:val="24"/>
                <w:rtl/>
              </w:rPr>
              <w:t>)</w:t>
            </w:r>
          </w:p>
        </w:tc>
        <w:tc>
          <w:tcPr>
            <w:tcW w:w="0" w:type="auto"/>
            <w:tcBorders>
              <w:top w:val="single" w:color="9BBB59" w:themeColor="accent3" w:sz="8" w:space="0"/>
              <w:bottom w:val="single" w:color="9BBB59" w:themeColor="accent3" w:sz="8" w:space="0"/>
              <w:right w:val="nil"/>
              <w:insideH w:val="single" w:sz="8" w:space="0"/>
              <w:insideV w:val="nil"/>
            </w:tcBorders>
          </w:tcPr>
          <w:p w14:paraId="798E16D5">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رفضت (نسبة</w:t>
            </w:r>
            <w:r>
              <w:rPr>
                <w:rFonts w:hint="cs" w:ascii="Simplified Arabic" w:hAnsi="Simplified Arabic" w:eastAsia="Times New Roman" w:cs="Simplified Arabic"/>
                <w:b/>
                <w:bCs/>
                <w:color w:val="77933C" w:themeColor="accent3" w:themeShade="BF"/>
                <w:sz w:val="24"/>
                <w:szCs w:val="24"/>
                <w:rtl/>
              </w:rPr>
              <w:t>)</w:t>
            </w:r>
          </w:p>
        </w:tc>
        <w:tc>
          <w:tcPr>
            <w:tcW w:w="0" w:type="auto"/>
            <w:tcBorders>
              <w:top w:val="single" w:color="9BBB59" w:themeColor="accent3" w:sz="8" w:space="0"/>
              <w:bottom w:val="single" w:color="9BBB59" w:themeColor="accent3" w:sz="8" w:space="0"/>
              <w:right w:val="nil"/>
              <w:insideH w:val="single" w:sz="8" w:space="0"/>
              <w:insideV w:val="nil"/>
            </w:tcBorders>
          </w:tcPr>
          <w:p w14:paraId="64546015">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نوع الضغط الأساسي</w:t>
            </w:r>
          </w:p>
        </w:tc>
        <w:tc>
          <w:tcPr>
            <w:tcW w:w="0" w:type="auto"/>
            <w:tcBorders>
              <w:top w:val="single" w:color="9BBB59" w:themeColor="accent3" w:sz="8" w:space="0"/>
              <w:bottom w:val="single" w:color="9BBB59" w:themeColor="accent3" w:sz="8" w:space="0"/>
              <w:right w:val="nil"/>
              <w:insideH w:val="single" w:sz="8" w:space="0"/>
              <w:insideV w:val="nil"/>
            </w:tcBorders>
          </w:tcPr>
          <w:p w14:paraId="2F835841">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المدارس المستهدفة</w:t>
            </w:r>
          </w:p>
        </w:tc>
        <w:tc>
          <w:tcPr>
            <w:tcW w:w="0" w:type="auto"/>
            <w:tcBorders>
              <w:top w:val="single" w:color="9BBB59" w:themeColor="accent3" w:sz="8" w:space="0"/>
              <w:bottom w:val="single" w:color="9BBB59" w:themeColor="accent3" w:sz="8" w:space="0"/>
              <w:right w:val="nil"/>
              <w:insideH w:val="single" w:sz="8" w:space="0"/>
              <w:insideV w:val="nil"/>
            </w:tcBorders>
          </w:tcPr>
          <w:p w14:paraId="3B8FFAA9">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السنة</w:t>
            </w:r>
          </w:p>
        </w:tc>
      </w:tr>
      <w:tr w14:paraId="5CC2BDB3">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D1E41B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ACRI, 2016, p. 15</w:t>
            </w:r>
          </w:p>
        </w:tc>
        <w:tc>
          <w:tcPr>
            <w:tcW w:w="0" w:type="auto"/>
            <w:tcBorders>
              <w:right w:val="nil"/>
              <w:insideV w:val="nil"/>
            </w:tcBorders>
            <w:shd w:val="clear" w:color="auto" w:fill="E6EED5" w:themeFill="accent3" w:themeFillTint="3F"/>
          </w:tcPr>
          <w:p w14:paraId="4FBC2BA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 (16.7%)</w:t>
            </w:r>
          </w:p>
        </w:tc>
        <w:tc>
          <w:tcPr>
            <w:tcW w:w="0" w:type="auto"/>
            <w:tcBorders>
              <w:right w:val="nil"/>
              <w:insideV w:val="nil"/>
            </w:tcBorders>
            <w:shd w:val="clear" w:color="auto" w:fill="E6EED5" w:themeFill="accent3" w:themeFillTint="3F"/>
          </w:tcPr>
          <w:p w14:paraId="05942BE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10 (83.3%)</w:t>
            </w:r>
          </w:p>
        </w:tc>
        <w:tc>
          <w:tcPr>
            <w:tcW w:w="0" w:type="auto"/>
            <w:tcBorders>
              <w:right w:val="nil"/>
              <w:insideV w:val="nil"/>
            </w:tcBorders>
            <w:shd w:val="clear" w:color="auto" w:fill="E6EED5" w:themeFill="accent3" w:themeFillTint="3F"/>
          </w:tcPr>
          <w:p w14:paraId="77BFE10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تهديد إداري</w:t>
            </w:r>
          </w:p>
        </w:tc>
        <w:tc>
          <w:tcPr>
            <w:tcW w:w="0" w:type="auto"/>
            <w:tcBorders>
              <w:right w:val="nil"/>
              <w:insideV w:val="nil"/>
            </w:tcBorders>
            <w:shd w:val="clear" w:color="auto" w:fill="E6EED5" w:themeFill="accent3" w:themeFillTint="3F"/>
          </w:tcPr>
          <w:p w14:paraId="61283C9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12</w:t>
            </w:r>
          </w:p>
        </w:tc>
        <w:tc>
          <w:tcPr>
            <w:tcW w:w="0" w:type="auto"/>
            <w:tcBorders>
              <w:right w:val="nil"/>
              <w:insideV w:val="nil"/>
            </w:tcBorders>
            <w:shd w:val="clear" w:color="auto" w:fill="E6EED5" w:themeFill="accent3" w:themeFillTint="3F"/>
          </w:tcPr>
          <w:p w14:paraId="457079A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2015</w:t>
            </w:r>
          </w:p>
        </w:tc>
      </w:tr>
      <w:tr w14:paraId="7BDD7A0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F20F75A">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ACRI, 2019, p. 22</w:t>
            </w:r>
          </w:p>
        </w:tc>
        <w:tc>
          <w:tcPr>
            <w:tcW w:w="0" w:type="auto"/>
          </w:tcPr>
          <w:p w14:paraId="00E26D1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 (28.6%)</w:t>
            </w:r>
          </w:p>
        </w:tc>
        <w:tc>
          <w:tcPr>
            <w:tcW w:w="0" w:type="auto"/>
          </w:tcPr>
          <w:p w14:paraId="7DC3030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20 (71.4%)</w:t>
            </w:r>
          </w:p>
        </w:tc>
        <w:tc>
          <w:tcPr>
            <w:tcW w:w="0" w:type="auto"/>
          </w:tcPr>
          <w:p w14:paraId="78C29D7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تهديد + قطع تمويل</w:t>
            </w:r>
          </w:p>
        </w:tc>
        <w:tc>
          <w:tcPr>
            <w:tcW w:w="0" w:type="auto"/>
          </w:tcPr>
          <w:p w14:paraId="2EF174C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28</w:t>
            </w:r>
          </w:p>
        </w:tc>
        <w:tc>
          <w:tcPr>
            <w:tcW w:w="0" w:type="auto"/>
          </w:tcPr>
          <w:p w14:paraId="19D41BB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2018</w:t>
            </w:r>
          </w:p>
        </w:tc>
      </w:tr>
      <w:tr w14:paraId="0CCE4AB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CA0361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B’Tselem, 2022, p. 34</w:t>
            </w:r>
          </w:p>
        </w:tc>
        <w:tc>
          <w:tcPr>
            <w:tcW w:w="0" w:type="auto"/>
            <w:tcBorders>
              <w:right w:val="nil"/>
              <w:insideV w:val="nil"/>
            </w:tcBorders>
            <w:shd w:val="clear" w:color="auto" w:fill="E6EED5" w:themeFill="accent3" w:themeFillTint="3F"/>
          </w:tcPr>
          <w:p w14:paraId="429CBA9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15 (33.3%)</w:t>
            </w:r>
          </w:p>
        </w:tc>
        <w:tc>
          <w:tcPr>
            <w:tcW w:w="0" w:type="auto"/>
            <w:tcBorders>
              <w:right w:val="nil"/>
              <w:insideV w:val="nil"/>
            </w:tcBorders>
            <w:shd w:val="clear" w:color="auto" w:fill="E6EED5" w:themeFill="accent3" w:themeFillTint="3F"/>
          </w:tcPr>
          <w:p w14:paraId="44C0F4A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30 (66.7%)</w:t>
            </w:r>
          </w:p>
        </w:tc>
        <w:tc>
          <w:tcPr>
            <w:tcW w:w="0" w:type="auto"/>
            <w:tcBorders>
              <w:right w:val="nil"/>
              <w:insideV w:val="nil"/>
            </w:tcBorders>
            <w:shd w:val="clear" w:color="auto" w:fill="E6EED5" w:themeFill="accent3" w:themeFillTint="3F"/>
          </w:tcPr>
          <w:p w14:paraId="7911FE1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تهديد + قطع تمويل + اعتقالات</w:t>
            </w:r>
          </w:p>
        </w:tc>
        <w:tc>
          <w:tcPr>
            <w:tcW w:w="0" w:type="auto"/>
            <w:tcBorders>
              <w:right w:val="nil"/>
              <w:insideV w:val="nil"/>
            </w:tcBorders>
            <w:shd w:val="clear" w:color="auto" w:fill="E6EED5" w:themeFill="accent3" w:themeFillTint="3F"/>
          </w:tcPr>
          <w:p w14:paraId="667F32C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45</w:t>
            </w:r>
          </w:p>
        </w:tc>
        <w:tc>
          <w:tcPr>
            <w:tcW w:w="0" w:type="auto"/>
            <w:tcBorders>
              <w:right w:val="nil"/>
              <w:insideV w:val="nil"/>
            </w:tcBorders>
            <w:shd w:val="clear" w:color="auto" w:fill="E6EED5" w:themeFill="accent3" w:themeFillTint="3F"/>
          </w:tcPr>
          <w:p w14:paraId="4F6E9B2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2021</w:t>
            </w:r>
          </w:p>
        </w:tc>
      </w:tr>
      <w:tr w14:paraId="32AC335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516F48A4">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WAFA, 2024, p. 5</w:t>
            </w:r>
          </w:p>
        </w:tc>
        <w:tc>
          <w:tcPr>
            <w:tcW w:w="0" w:type="auto"/>
          </w:tcPr>
          <w:p w14:paraId="754A50B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28 (41.8%)</w:t>
            </w:r>
          </w:p>
        </w:tc>
        <w:tc>
          <w:tcPr>
            <w:tcW w:w="0" w:type="auto"/>
          </w:tcPr>
          <w:p w14:paraId="5C088B5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39 (58.2%)</w:t>
            </w:r>
          </w:p>
        </w:tc>
        <w:tc>
          <w:tcPr>
            <w:tcW w:w="0" w:type="auto"/>
          </w:tcPr>
          <w:p w14:paraId="263CDE4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جميع ما سبق + إغلاق قسري</w:t>
            </w:r>
          </w:p>
        </w:tc>
        <w:tc>
          <w:tcPr>
            <w:tcW w:w="0" w:type="auto"/>
          </w:tcPr>
          <w:p w14:paraId="3C6345B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67</w:t>
            </w:r>
          </w:p>
        </w:tc>
        <w:tc>
          <w:tcPr>
            <w:tcW w:w="0" w:type="auto"/>
          </w:tcPr>
          <w:p w14:paraId="45E869E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2024</w:t>
            </w:r>
          </w:p>
        </w:tc>
      </w:tr>
    </w:tbl>
    <w:p w14:paraId="3B8C6BDD">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يُلاحظ من الجدول (5) تصاعداً منهجياً في الضغوط المفروضة على المدارس الفلسطينية في القدس، من مجرد تهديد إداري عام 2015 إلى إغلاق قسري عام 2024، مع زيادة تدريجية في نسبة المدارس التي قبلت المناهج الإسرائيلية (من 16.7% إلى 41.8%). هذا النمط يعكس ما يسميه روب نيكسون «العنف البطيء</w:t>
      </w:r>
      <w:r>
        <w:rPr>
          <w:rFonts w:ascii="Simplified Arabic" w:hAnsi="Simplified Arabic" w:eastAsia="Times New Roman" w:cs="Simplified Arabic"/>
          <w:sz w:val="24"/>
          <w:szCs w:val="24"/>
        </w:rPr>
        <w:t>» (Nixon, 2011, p. 2)</w:t>
      </w:r>
      <w:r>
        <w:rPr>
          <w:rFonts w:ascii="Simplified Arabic" w:hAnsi="Simplified Arabic" w:eastAsia="Times New Roman" w:cs="Simplified Arabic"/>
          <w:sz w:val="24"/>
          <w:szCs w:val="24"/>
          <w:rtl/>
        </w:rPr>
        <w:t>، حيث يُستخدم الزمن كسلاح لتآكل المقاومة التعليمية تدريجياً، دون الحاجة إلى مشاهد تدميرية فورية، مما يؤدي إلى إعادة هندسة الوعي والسردية الفلسطينية عبر تراكم الضغوط</w:t>
      </w:r>
      <w:r>
        <w:rPr>
          <w:rFonts w:ascii="Simplified Arabic" w:hAnsi="Simplified Arabic" w:eastAsia="Times New Roman" w:cs="Simplified Arabic"/>
          <w:sz w:val="24"/>
          <w:szCs w:val="24"/>
        </w:rPr>
        <w:t>.</w:t>
      </w:r>
    </w:p>
    <w:p w14:paraId="71793516">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تقارير</w:t>
      </w:r>
      <w:r>
        <w:rPr>
          <w:rFonts w:ascii="Simplified Arabic" w:hAnsi="Simplified Arabic" w:eastAsia="Times New Roman" w:cs="Simplified Arabic"/>
          <w:i/>
          <w:iCs/>
          <w:sz w:val="24"/>
          <w:szCs w:val="24"/>
        </w:rPr>
        <w:t xml:space="preserve"> ACRI (2016, p. 15; 2019, p. 22), B’Tselem (2022, p. 34), </w:t>
      </w:r>
      <w:r>
        <w:rPr>
          <w:rFonts w:ascii="Simplified Arabic" w:hAnsi="Simplified Arabic" w:eastAsia="Times New Roman" w:cs="Simplified Arabic"/>
          <w:i/>
          <w:iCs/>
          <w:sz w:val="24"/>
          <w:szCs w:val="24"/>
          <w:rtl/>
        </w:rPr>
        <w:t>ووكالة الأنباء الفلسطينية</w:t>
      </w:r>
      <w:r>
        <w:rPr>
          <w:rFonts w:ascii="Simplified Arabic" w:hAnsi="Simplified Arabic" w:eastAsia="Times New Roman" w:cs="Simplified Arabic"/>
          <w:i/>
          <w:iCs/>
          <w:sz w:val="24"/>
          <w:szCs w:val="24"/>
        </w:rPr>
        <w:t xml:space="preserve"> WAFA (2024, p. 5).</w:t>
      </w:r>
    </w:p>
    <w:p w14:paraId="7D19A5CA">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tl/>
        </w:rPr>
        <w:t>أنماط التحريف في المناهج</w:t>
      </w:r>
    </w:p>
    <w:p w14:paraId="4BF41C91">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ولإبراز الكيفية التي يُمارَس بها الاستهداف المعرفي، يوضح الجدول (6) أنماط التحريف في المناهج الإسرائيلية المفروضة على مدارس القدس، بما يعكس محواً ممنهجاً للهوية الفلسطينية وإعادة صياغة السردية التاريخية</w:t>
      </w:r>
      <w:r>
        <w:rPr>
          <w:rFonts w:ascii="Simplified Arabic" w:hAnsi="Simplified Arabic" w:eastAsia="Times New Roman" w:cs="Simplified Arabic"/>
          <w:b/>
          <w:bCs/>
          <w:sz w:val="24"/>
          <w:szCs w:val="24"/>
        </w:rPr>
        <w:t>.</w:t>
      </w:r>
    </w:p>
    <w:p w14:paraId="7A9A6D80">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(6): أنماط التحريف في المناهج الإسرائيلية المفروضة على مدارس القدس</w:t>
      </w:r>
    </w:p>
    <w:tbl>
      <w:tblPr>
        <w:tblStyle w:val="13"/>
        <w:tblW w:w="0" w:type="auto"/>
        <w:tblInd w:w="2651"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2"/>
        <w:gridCol w:w="2912"/>
        <w:gridCol w:w="1769"/>
      </w:tblGrid>
      <w:tr w14:paraId="552D7B2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203938BA">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الدلالة</w:t>
            </w:r>
          </w:p>
        </w:tc>
        <w:tc>
          <w:tcPr>
            <w:tcW w:w="0" w:type="auto"/>
            <w:tcBorders>
              <w:top w:val="single" w:color="9BBB59" w:themeColor="accent3" w:sz="8" w:space="0"/>
              <w:bottom w:val="single" w:color="9BBB59" w:themeColor="accent3" w:sz="8" w:space="0"/>
              <w:right w:val="nil"/>
              <w:insideH w:val="single" w:sz="8" w:space="0"/>
              <w:insideV w:val="nil"/>
            </w:tcBorders>
          </w:tcPr>
          <w:p w14:paraId="6502054A">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المثال</w:t>
            </w:r>
          </w:p>
        </w:tc>
        <w:tc>
          <w:tcPr>
            <w:tcW w:w="0" w:type="auto"/>
            <w:tcBorders>
              <w:top w:val="single" w:color="9BBB59" w:themeColor="accent3" w:sz="8" w:space="0"/>
              <w:bottom w:val="single" w:color="9BBB59" w:themeColor="accent3" w:sz="8" w:space="0"/>
              <w:right w:val="nil"/>
              <w:insideH w:val="single" w:sz="8" w:space="0"/>
              <w:insideV w:val="nil"/>
            </w:tcBorders>
          </w:tcPr>
          <w:p w14:paraId="43CEA312">
            <w:pPr>
              <w:bidi/>
              <w:spacing w:before="0"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النمط</w:t>
            </w:r>
          </w:p>
        </w:tc>
      </w:tr>
      <w:tr w14:paraId="112E84F1">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082C6ACF">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محو الهوية</w:t>
            </w:r>
          </w:p>
        </w:tc>
        <w:tc>
          <w:tcPr>
            <w:tcW w:w="0" w:type="auto"/>
            <w:tcBorders>
              <w:right w:val="nil"/>
              <w:insideV w:val="nil"/>
            </w:tcBorders>
            <w:shd w:val="clear" w:color="auto" w:fill="E6EED5" w:themeFill="accent3" w:themeFillTint="3F"/>
          </w:tcPr>
          <w:p w14:paraId="2884F40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 xml:space="preserve">استبدال بـ </w:t>
            </w: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أرض إسرائيل</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7DCB217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 xml:space="preserve">حذف </w:t>
            </w: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فلسطين</w:t>
            </w:r>
            <w:r>
              <w:rPr>
                <w:rFonts w:ascii="Simplified Arabic" w:hAnsi="Simplified Arabic" w:eastAsia="Times New Roman" w:cs="Simplified Arabic"/>
                <w:color w:val="77933C" w:themeColor="accent3" w:themeShade="BF"/>
                <w:sz w:val="24"/>
                <w:szCs w:val="24"/>
              </w:rPr>
              <w:t>"</w:t>
            </w:r>
          </w:p>
        </w:tc>
      </w:tr>
      <w:tr w14:paraId="6BCEBB1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8B4116C">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قلب السردية التاريخية</w:t>
            </w:r>
          </w:p>
        </w:tc>
        <w:tc>
          <w:tcPr>
            <w:tcW w:w="0" w:type="auto"/>
          </w:tcPr>
          <w:p w14:paraId="246DB27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 xml:space="preserve">وصفها بـ </w:t>
            </w: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حرب الاستقلال</w:t>
            </w:r>
            <w:r>
              <w:rPr>
                <w:rFonts w:ascii="Simplified Arabic" w:hAnsi="Simplified Arabic" w:eastAsia="Times New Roman" w:cs="Simplified Arabic"/>
                <w:color w:val="77933C" w:themeColor="accent3" w:themeShade="BF"/>
                <w:sz w:val="24"/>
                <w:szCs w:val="24"/>
              </w:rPr>
              <w:t>"</w:t>
            </w:r>
          </w:p>
        </w:tc>
        <w:tc>
          <w:tcPr>
            <w:tcW w:w="0" w:type="auto"/>
          </w:tcPr>
          <w:p w14:paraId="6E98EE8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إعادة تأريخ النكبة</w:t>
            </w:r>
          </w:p>
        </w:tc>
      </w:tr>
      <w:tr w14:paraId="435C224E">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8F7E0AA">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تفريغ الرموز الثقافية</w:t>
            </w:r>
          </w:p>
        </w:tc>
        <w:tc>
          <w:tcPr>
            <w:tcW w:w="0" w:type="auto"/>
            <w:tcBorders>
              <w:right w:val="nil"/>
              <w:insideV w:val="nil"/>
            </w:tcBorders>
            <w:shd w:val="clear" w:color="auto" w:fill="E6EED5" w:themeFill="accent3" w:themeFillTint="3F"/>
          </w:tcPr>
          <w:p w14:paraId="6E3D334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إزالة العلم ودرويش</w:t>
            </w:r>
          </w:p>
        </w:tc>
        <w:tc>
          <w:tcPr>
            <w:tcW w:w="0" w:type="auto"/>
            <w:tcBorders>
              <w:right w:val="nil"/>
              <w:insideV w:val="nil"/>
            </w:tcBorders>
            <w:shd w:val="clear" w:color="auto" w:fill="E6EED5" w:themeFill="accent3" w:themeFillTint="3F"/>
          </w:tcPr>
          <w:p w14:paraId="5A2A235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حذف الرموز الوطنية</w:t>
            </w:r>
          </w:p>
        </w:tc>
      </w:tr>
      <w:tr w14:paraId="29DD0161">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772E622">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هندسة الهوية الجماعية</w:t>
            </w:r>
          </w:p>
        </w:tc>
        <w:tc>
          <w:tcPr>
            <w:tcW w:w="0" w:type="auto"/>
          </w:tcPr>
          <w:p w14:paraId="47F4351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 xml:space="preserve">وصف الفلسطينيين بـ </w:t>
            </w: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أقلية عربية</w:t>
            </w:r>
            <w:r>
              <w:rPr>
                <w:rFonts w:ascii="Simplified Arabic" w:hAnsi="Simplified Arabic" w:eastAsia="Times New Roman" w:cs="Simplified Arabic"/>
                <w:color w:val="77933C" w:themeColor="accent3" w:themeShade="BF"/>
                <w:sz w:val="24"/>
                <w:szCs w:val="24"/>
              </w:rPr>
              <w:t>"</w:t>
            </w:r>
          </w:p>
        </w:tc>
        <w:tc>
          <w:tcPr>
            <w:tcW w:w="0" w:type="auto"/>
          </w:tcPr>
          <w:p w14:paraId="6D9499B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إعادة تعريف الهوية</w:t>
            </w:r>
          </w:p>
        </w:tc>
      </w:tr>
      <w:tr w14:paraId="50458A7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5C8E183">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هيمنة ثقافية استعمارية</w:t>
            </w:r>
          </w:p>
        </w:tc>
        <w:tc>
          <w:tcPr>
            <w:tcW w:w="0" w:type="auto"/>
            <w:tcBorders>
              <w:right w:val="nil"/>
              <w:insideV w:val="nil"/>
            </w:tcBorders>
            <w:shd w:val="clear" w:color="auto" w:fill="E6EED5" w:themeFill="accent3" w:themeFillTint="3F"/>
          </w:tcPr>
          <w:p w14:paraId="7EBB8AD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 xml:space="preserve">إضافة فصول عن </w:t>
            </w: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إنجازات إسرائيل</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7460816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تمجيد الاحتلال</w:t>
            </w:r>
          </w:p>
        </w:tc>
      </w:tr>
    </w:tbl>
    <w:p w14:paraId="0097E16C">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 xml:space="preserve">يوضح الجدول (6) أن التحريف لا يقتصر على حذف كلمة أو رمز، بل يمتد إلى إعادة صياغة التاريخ والهوية: من استبدال فلسطين بـ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أرض إسرائيل</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 xml:space="preserve">، إلى وصف النكبة بـ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حرب الاستقلال</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 xml:space="preserve">، وصولاً إلى إعادة تعريف الفلسطينيين كـ </w:t>
      </w:r>
      <w:r>
        <w:rPr>
          <w:rFonts w:ascii="Simplified Arabic" w:hAnsi="Simplified Arabic" w:eastAsia="Times New Roman" w:cs="Simplified Arabic"/>
          <w:sz w:val="24"/>
          <w:szCs w:val="24"/>
        </w:rPr>
        <w:t>"</w:t>
      </w:r>
      <w:r>
        <w:rPr>
          <w:rFonts w:ascii="Simplified Arabic" w:hAnsi="Simplified Arabic" w:eastAsia="Times New Roman" w:cs="Simplified Arabic"/>
          <w:sz w:val="24"/>
          <w:szCs w:val="24"/>
          <w:rtl/>
        </w:rPr>
        <w:t>أقلية عربية</w:t>
      </w:r>
      <w:r>
        <w:rPr>
          <w:rFonts w:ascii="Simplified Arabic" w:hAnsi="Simplified Arabic" w:eastAsia="Times New Roman" w:cs="Simplified Arabic"/>
          <w:sz w:val="24"/>
          <w:szCs w:val="24"/>
        </w:rPr>
        <w:t xml:space="preserve">". </w:t>
      </w:r>
      <w:r>
        <w:rPr>
          <w:rFonts w:ascii="Simplified Arabic" w:hAnsi="Simplified Arabic" w:eastAsia="Times New Roman" w:cs="Simplified Arabic"/>
          <w:sz w:val="24"/>
          <w:szCs w:val="24"/>
          <w:rtl/>
        </w:rPr>
        <w:t>هذه الممارسات تمثل شكلاً من «الاستعمار المعرفي» الذي تحدّث عنه مينيولو</w:t>
      </w:r>
      <w:r>
        <w:rPr>
          <w:rFonts w:ascii="Simplified Arabic" w:hAnsi="Simplified Arabic" w:eastAsia="Times New Roman" w:cs="Simplified Arabic"/>
          <w:sz w:val="24"/>
          <w:szCs w:val="24"/>
        </w:rPr>
        <w:t xml:space="preserve"> (Mignolo, 2011, p. 124)</w:t>
      </w:r>
      <w:r>
        <w:rPr>
          <w:rFonts w:ascii="Simplified Arabic" w:hAnsi="Simplified Arabic" w:eastAsia="Times New Roman" w:cs="Simplified Arabic"/>
          <w:sz w:val="24"/>
          <w:szCs w:val="24"/>
          <w:rtl/>
        </w:rPr>
        <w:t>، وتنسجم مع «منطق الإزالة» عند وولف</w:t>
      </w:r>
      <w:r>
        <w:rPr>
          <w:rFonts w:ascii="Simplified Arabic" w:hAnsi="Simplified Arabic" w:eastAsia="Times New Roman" w:cs="Simplified Arabic"/>
          <w:sz w:val="24"/>
          <w:szCs w:val="24"/>
        </w:rPr>
        <w:t xml:space="preserve"> (Wolfe, 2006, p. 388)</w:t>
      </w:r>
      <w:r>
        <w:rPr>
          <w:rFonts w:ascii="Simplified Arabic" w:hAnsi="Simplified Arabic" w:eastAsia="Times New Roman" w:cs="Simplified Arabic"/>
          <w:sz w:val="24"/>
          <w:szCs w:val="24"/>
          <w:rtl/>
        </w:rPr>
        <w:t>، حيث يُستهدف الوجود الفلسطيني ليس فقط مادياً، بل معرفياً ورمزياً أيضاً</w:t>
      </w:r>
      <w:r>
        <w:rPr>
          <w:rFonts w:ascii="Simplified Arabic" w:hAnsi="Simplified Arabic" w:eastAsia="Times New Roman" w:cs="Simplified Arabic"/>
          <w:sz w:val="24"/>
          <w:szCs w:val="24"/>
        </w:rPr>
        <w:t>.</w:t>
      </w:r>
    </w:p>
    <w:p w14:paraId="627F4C0A">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تقارير</w:t>
      </w:r>
      <w:r>
        <w:rPr>
          <w:rFonts w:ascii="Simplified Arabic" w:hAnsi="Simplified Arabic" w:eastAsia="Times New Roman" w:cs="Simplified Arabic"/>
          <w:i/>
          <w:iCs/>
          <w:sz w:val="24"/>
          <w:szCs w:val="24"/>
        </w:rPr>
        <w:t xml:space="preserve"> ACRI (2019, p. 22), B’Tselem (2022, p. 34), </w:t>
      </w:r>
      <w:r>
        <w:rPr>
          <w:rFonts w:ascii="Simplified Arabic" w:hAnsi="Simplified Arabic" w:eastAsia="Times New Roman" w:cs="Simplified Arabic"/>
          <w:i/>
          <w:iCs/>
          <w:sz w:val="24"/>
          <w:szCs w:val="24"/>
          <w:rtl/>
        </w:rPr>
        <w:t>و</w:t>
      </w:r>
      <w:r>
        <w:rPr>
          <w:rFonts w:ascii="Simplified Arabic" w:hAnsi="Simplified Arabic" w:eastAsia="Times New Roman" w:cs="Simplified Arabic"/>
          <w:i/>
          <w:iCs/>
          <w:sz w:val="24"/>
          <w:szCs w:val="24"/>
        </w:rPr>
        <w:t>WAFA (2024, p. 5.</w:t>
      </w:r>
      <w:r>
        <w:rPr>
          <w:rFonts w:hint="cs" w:ascii="Simplified Arabic" w:hAnsi="Simplified Arabic" w:eastAsia="Times New Roman" w:cs="Simplified Arabic"/>
          <w:i/>
          <w:iCs/>
          <w:sz w:val="24"/>
          <w:szCs w:val="24"/>
          <w:rtl/>
        </w:rPr>
        <w:t>)</w:t>
      </w:r>
    </w:p>
    <w:p w14:paraId="79BDCD48">
      <w:pPr>
        <w:bidi/>
        <w:spacing w:line="240" w:lineRule="auto"/>
        <w:rPr>
          <w:rFonts w:ascii="Simplified Arabic" w:hAnsi="Simplified Arabic" w:cs="Simplified Arabic"/>
          <w:sz w:val="24"/>
          <w:szCs w:val="24"/>
        </w:rPr>
      </w:pPr>
    </w:p>
    <w:p w14:paraId="6BD821E9">
      <w:pPr>
        <w:pStyle w:val="3"/>
        <w:bidi/>
        <w:spacing w:line="240" w:lineRule="auto"/>
        <w:rPr>
          <w:rFonts w:hint="cs" w:ascii="Simplified Arabic" w:hAnsi="Simplified Arabic" w:cs="Simplified Arabic"/>
          <w:color w:val="auto"/>
          <w:sz w:val="24"/>
          <w:szCs w:val="24"/>
          <w:rtl/>
        </w:rPr>
      </w:pPr>
      <w:r>
        <w:rPr>
          <w:rFonts w:ascii="Simplified Arabic" w:hAnsi="Simplified Arabic" w:cs="Simplified Arabic"/>
          <w:color w:val="auto"/>
          <w:sz w:val="24"/>
          <w:szCs w:val="24"/>
          <w:rtl/>
        </w:rPr>
        <w:t>ثالثاً: تآكل الأمن الوجودي الفلسطيني</w:t>
      </w:r>
    </w:p>
    <w:p w14:paraId="380D6641">
      <w:pPr>
        <w:bidi/>
        <w:rPr>
          <w:rFonts w:hint="cs"/>
          <w:rtl/>
        </w:rPr>
      </w:pPr>
    </w:p>
    <w:p w14:paraId="4DD02C95">
      <w:pPr>
        <w:bidi/>
        <w:spacing w:before="100" w:beforeAutospacing="1" w:after="100" w:afterAutospacing="1" w:line="240" w:lineRule="auto"/>
        <w:outlineLvl w:val="1"/>
        <w:rPr>
          <w:rFonts w:ascii="Simplified Arabic" w:hAnsi="Simplified Arabic" w:eastAsia="Times New Roman" w:cs="Simplified Arabic"/>
          <w:b/>
          <w:bCs/>
          <w:sz w:val="36"/>
          <w:szCs w:val="36"/>
        </w:rPr>
      </w:pPr>
      <w:r>
        <w:rPr>
          <w:rFonts w:ascii="Simplified Arabic" w:hAnsi="Simplified Arabic" w:eastAsia="Times New Roman" w:cs="Simplified Arabic"/>
          <w:b/>
          <w:bCs/>
          <w:sz w:val="36"/>
          <w:szCs w:val="36"/>
          <w:rtl/>
        </w:rPr>
        <w:t>ثالثاً: إجابات السؤال الثاني</w:t>
      </w:r>
    </w:p>
    <w:p w14:paraId="75EC3377">
      <w:pPr>
        <w:bidi/>
        <w:spacing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السؤال الثاني: كيف تؤثر إبادة التعليم في الأعمدة الأساسية للأمن الوجودي الفلسطيني (الروتين اليومي، السردية الذاتية، الثقة بالمستقبل)؟</w:t>
      </w:r>
    </w:p>
    <w:p w14:paraId="03916672">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Pr>
        <w:t xml:space="preserve">2. </w:t>
      </w:r>
      <w:r>
        <w:rPr>
          <w:rFonts w:ascii="Simplified Arabic" w:hAnsi="Simplified Arabic" w:eastAsia="Times New Roman" w:cs="Simplified Arabic"/>
          <w:b/>
          <w:bCs/>
          <w:sz w:val="27"/>
          <w:szCs w:val="27"/>
          <w:rtl/>
        </w:rPr>
        <w:t>مقياس الأمن الوجودي: النتائج الكمية</w:t>
      </w:r>
    </w:p>
    <w:p w14:paraId="5D747C4E">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للإجابة عن السؤال الثاني كمياً، طُبِّق مقياس الأمن الوجودي (8 عبارات، ليكرت 1–5) على عينة من المشاركين في غزة</w:t>
      </w:r>
      <w:r>
        <w:rPr>
          <w:rFonts w:ascii="Simplified Arabic" w:hAnsi="Simplified Arabic" w:eastAsia="Times New Roman" w:cs="Simplified Arabic"/>
          <w:b/>
          <w:bCs/>
          <w:sz w:val="24"/>
          <w:szCs w:val="24"/>
        </w:rPr>
        <w:t xml:space="preserve"> (n=45). </w:t>
      </w:r>
      <w:r>
        <w:rPr>
          <w:rFonts w:ascii="Simplified Arabic" w:hAnsi="Simplified Arabic" w:eastAsia="Times New Roman" w:cs="Simplified Arabic"/>
          <w:b/>
          <w:bCs/>
          <w:sz w:val="24"/>
          <w:szCs w:val="24"/>
          <w:rtl/>
        </w:rPr>
        <w:t>يعرض الجدول (7) المتوسطات الحسابية والانحرافات المعيارية</w:t>
      </w:r>
      <w:r>
        <w:rPr>
          <w:rFonts w:ascii="Simplified Arabic" w:hAnsi="Simplified Arabic" w:eastAsia="Times New Roman" w:cs="Simplified Arabic"/>
          <w:b/>
          <w:bCs/>
          <w:sz w:val="24"/>
          <w:szCs w:val="24"/>
        </w:rPr>
        <w:t>.</w:t>
      </w:r>
    </w:p>
    <w:p w14:paraId="0C3D93F5">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(7): مقياس الأمن الوجودي – عينة غزة</w:t>
      </w:r>
      <w:r>
        <w:rPr>
          <w:rFonts w:ascii="Simplified Arabic" w:hAnsi="Simplified Arabic" w:eastAsia="Times New Roman" w:cs="Simplified Arabic"/>
          <w:b/>
          <w:bCs/>
          <w:sz w:val="24"/>
          <w:szCs w:val="24"/>
        </w:rPr>
        <w:t xml:space="preserve"> (n=45)</w:t>
      </w:r>
    </w:p>
    <w:tbl>
      <w:tblPr>
        <w:tblStyle w:val="13"/>
        <w:tblW w:w="6763" w:type="dxa"/>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
        <w:gridCol w:w="1272"/>
        <w:gridCol w:w="2749"/>
        <w:gridCol w:w="929"/>
        <w:gridCol w:w="961"/>
      </w:tblGrid>
      <w:tr w14:paraId="17C37C93">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03F496BA">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المتوسط</w:t>
            </w:r>
          </w:p>
        </w:tc>
        <w:tc>
          <w:tcPr>
            <w:tcW w:w="0" w:type="auto"/>
            <w:tcBorders>
              <w:top w:val="single" w:color="9BBB59" w:themeColor="accent3" w:sz="8" w:space="0"/>
              <w:bottom w:val="single" w:color="9BBB59" w:themeColor="accent3" w:sz="8" w:space="0"/>
              <w:right w:val="nil"/>
              <w:insideH w:val="single" w:sz="8" w:space="0"/>
              <w:insideV w:val="nil"/>
            </w:tcBorders>
          </w:tcPr>
          <w:p w14:paraId="56EEA99A">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الانحراف المعياري</w:t>
            </w:r>
          </w:p>
        </w:tc>
        <w:tc>
          <w:tcPr>
            <w:tcW w:w="0" w:type="auto"/>
            <w:tcBorders>
              <w:top w:val="single" w:color="9BBB59" w:themeColor="accent3" w:sz="8" w:space="0"/>
              <w:bottom w:val="single" w:color="9BBB59" w:themeColor="accent3" w:sz="8" w:space="0"/>
              <w:right w:val="nil"/>
              <w:insideH w:val="single" w:sz="8" w:space="0"/>
              <w:insideV w:val="nil"/>
            </w:tcBorders>
          </w:tcPr>
          <w:p w14:paraId="1FC49205">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العبارة</w:t>
            </w:r>
          </w:p>
        </w:tc>
        <w:tc>
          <w:tcPr>
            <w:tcW w:w="0" w:type="auto"/>
            <w:tcBorders>
              <w:top w:val="single" w:color="9BBB59" w:themeColor="accent3" w:sz="8" w:space="0"/>
              <w:bottom w:val="single" w:color="9BBB59" w:themeColor="accent3" w:sz="8" w:space="0"/>
              <w:right w:val="nil"/>
              <w:insideH w:val="single" w:sz="8" w:space="0"/>
              <w:insideV w:val="nil"/>
            </w:tcBorders>
          </w:tcPr>
          <w:p w14:paraId="6D37E955">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المستوى</w:t>
            </w:r>
          </w:p>
        </w:tc>
        <w:tc>
          <w:tcPr>
            <w:tcW w:w="0" w:type="auto"/>
            <w:tcBorders>
              <w:top w:val="single" w:color="9BBB59" w:themeColor="accent3" w:sz="8" w:space="0"/>
              <w:bottom w:val="single" w:color="9BBB59" w:themeColor="accent3" w:sz="8" w:space="0"/>
              <w:right w:val="nil"/>
              <w:insideH w:val="single" w:sz="8" w:space="0"/>
              <w:insideV w:val="nil"/>
            </w:tcBorders>
          </w:tcPr>
          <w:p w14:paraId="14145E40">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w:t>
            </w:r>
          </w:p>
        </w:tc>
      </w:tr>
      <w:tr w14:paraId="1341FA0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D986674">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4.56</w:t>
            </w:r>
          </w:p>
        </w:tc>
        <w:tc>
          <w:tcPr>
            <w:tcW w:w="0" w:type="auto"/>
            <w:tcBorders>
              <w:right w:val="nil"/>
              <w:insideV w:val="nil"/>
            </w:tcBorders>
            <w:shd w:val="clear" w:color="auto" w:fill="E6EED5" w:themeFill="accent3" w:themeFillTint="3F"/>
          </w:tcPr>
          <w:p w14:paraId="7AA598D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0.69</w:t>
            </w:r>
          </w:p>
        </w:tc>
        <w:tc>
          <w:tcPr>
            <w:tcW w:w="0" w:type="auto"/>
            <w:tcBorders>
              <w:right w:val="nil"/>
              <w:insideV w:val="nil"/>
            </w:tcBorders>
            <w:shd w:val="clear" w:color="auto" w:fill="E6EED5" w:themeFill="accent3" w:themeFillTint="3F"/>
          </w:tcPr>
          <w:p w14:paraId="373F859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شعرت أن جزءاً من هويتي ضاع</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01E7BC3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 جداً</w:t>
            </w:r>
          </w:p>
        </w:tc>
        <w:tc>
          <w:tcPr>
            <w:tcW w:w="0" w:type="auto"/>
            <w:tcBorders>
              <w:right w:val="nil"/>
              <w:insideV w:val="nil"/>
            </w:tcBorders>
            <w:shd w:val="clear" w:color="auto" w:fill="E6EED5" w:themeFill="accent3" w:themeFillTint="3F"/>
          </w:tcPr>
          <w:p w14:paraId="1C08FAA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w:t>
            </w:r>
          </w:p>
        </w:tc>
      </w:tr>
      <w:tr w14:paraId="07904ECD">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65C5FE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4.42</w:t>
            </w:r>
          </w:p>
        </w:tc>
        <w:tc>
          <w:tcPr>
            <w:tcW w:w="0" w:type="auto"/>
          </w:tcPr>
          <w:p w14:paraId="6C7A58C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0.78</w:t>
            </w:r>
          </w:p>
        </w:tc>
        <w:tc>
          <w:tcPr>
            <w:tcW w:w="0" w:type="auto"/>
          </w:tcPr>
          <w:p w14:paraId="490148B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فقدت القدرة على تخيّل مستقبلي</w:t>
            </w:r>
            <w:r>
              <w:rPr>
                <w:rFonts w:ascii="Simplified Arabic" w:hAnsi="Simplified Arabic" w:eastAsia="Times New Roman" w:cs="Simplified Arabic"/>
                <w:color w:val="77933C" w:themeColor="accent3" w:themeShade="BF"/>
                <w:sz w:val="24"/>
                <w:szCs w:val="24"/>
              </w:rPr>
              <w:t>"</w:t>
            </w:r>
          </w:p>
        </w:tc>
        <w:tc>
          <w:tcPr>
            <w:tcW w:w="0" w:type="auto"/>
          </w:tcPr>
          <w:p w14:paraId="7A7FB62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 جداً</w:t>
            </w:r>
          </w:p>
        </w:tc>
        <w:tc>
          <w:tcPr>
            <w:tcW w:w="0" w:type="auto"/>
          </w:tcPr>
          <w:p w14:paraId="5161926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w:t>
            </w:r>
          </w:p>
        </w:tc>
      </w:tr>
      <w:tr w14:paraId="282FAAC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70B3FF6">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4.38</w:t>
            </w:r>
          </w:p>
        </w:tc>
        <w:tc>
          <w:tcPr>
            <w:tcW w:w="0" w:type="auto"/>
            <w:tcBorders>
              <w:right w:val="nil"/>
              <w:insideV w:val="nil"/>
            </w:tcBorders>
            <w:shd w:val="clear" w:color="auto" w:fill="E6EED5" w:themeFill="accent3" w:themeFillTint="3F"/>
          </w:tcPr>
          <w:p w14:paraId="4E1C72A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0.81</w:t>
            </w:r>
          </w:p>
        </w:tc>
        <w:tc>
          <w:tcPr>
            <w:tcW w:w="0" w:type="auto"/>
            <w:tcBorders>
              <w:right w:val="nil"/>
              <w:insideV w:val="nil"/>
            </w:tcBorders>
            <w:shd w:val="clear" w:color="auto" w:fill="E6EED5" w:themeFill="accent3" w:themeFillTint="3F"/>
          </w:tcPr>
          <w:p w14:paraId="4E7A8EF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أشعر أن كل شيء انهار</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5861D9C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 جداً</w:t>
            </w:r>
          </w:p>
        </w:tc>
        <w:tc>
          <w:tcPr>
            <w:tcW w:w="0" w:type="auto"/>
            <w:tcBorders>
              <w:right w:val="nil"/>
              <w:insideV w:val="nil"/>
            </w:tcBorders>
            <w:shd w:val="clear" w:color="auto" w:fill="E6EED5" w:themeFill="accent3" w:themeFillTint="3F"/>
          </w:tcPr>
          <w:p w14:paraId="7B10665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w:t>
            </w:r>
          </w:p>
        </w:tc>
      </w:tr>
      <w:tr w14:paraId="4591945E">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BA45994">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4.29</w:t>
            </w:r>
          </w:p>
        </w:tc>
        <w:tc>
          <w:tcPr>
            <w:tcW w:w="0" w:type="auto"/>
          </w:tcPr>
          <w:p w14:paraId="34220B5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0.89</w:t>
            </w:r>
          </w:p>
        </w:tc>
        <w:tc>
          <w:tcPr>
            <w:tcW w:w="0" w:type="auto"/>
          </w:tcPr>
          <w:p w14:paraId="7EE1527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لم أعد أعرف من أنا بدون الدراسة</w:t>
            </w:r>
            <w:r>
              <w:rPr>
                <w:rFonts w:ascii="Simplified Arabic" w:hAnsi="Simplified Arabic" w:eastAsia="Times New Roman" w:cs="Simplified Arabic"/>
                <w:color w:val="77933C" w:themeColor="accent3" w:themeShade="BF"/>
                <w:sz w:val="24"/>
                <w:szCs w:val="24"/>
              </w:rPr>
              <w:t>"</w:t>
            </w:r>
          </w:p>
        </w:tc>
        <w:tc>
          <w:tcPr>
            <w:tcW w:w="0" w:type="auto"/>
          </w:tcPr>
          <w:p w14:paraId="0782303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 جداً</w:t>
            </w:r>
          </w:p>
        </w:tc>
        <w:tc>
          <w:tcPr>
            <w:tcW w:w="0" w:type="auto"/>
          </w:tcPr>
          <w:p w14:paraId="72D7F19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4</w:t>
            </w:r>
          </w:p>
        </w:tc>
      </w:tr>
      <w:tr w14:paraId="7873882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715BA967">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4.11</w:t>
            </w:r>
          </w:p>
        </w:tc>
        <w:tc>
          <w:tcPr>
            <w:tcW w:w="0" w:type="auto"/>
            <w:tcBorders>
              <w:right w:val="nil"/>
              <w:insideV w:val="nil"/>
            </w:tcBorders>
            <w:shd w:val="clear" w:color="auto" w:fill="E6EED5" w:themeFill="accent3" w:themeFillTint="3F"/>
          </w:tcPr>
          <w:p w14:paraId="110E02A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0.96</w:t>
            </w:r>
          </w:p>
        </w:tc>
        <w:tc>
          <w:tcPr>
            <w:tcW w:w="0" w:type="auto"/>
            <w:tcBorders>
              <w:right w:val="nil"/>
              <w:insideV w:val="nil"/>
            </w:tcBorders>
            <w:shd w:val="clear" w:color="auto" w:fill="E6EED5" w:themeFill="accent3" w:themeFillTint="3F"/>
          </w:tcPr>
          <w:p w14:paraId="43A0306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أشعر أن حياتي فقدت معناها</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1D45663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w:t>
            </w:r>
          </w:p>
        </w:tc>
        <w:tc>
          <w:tcPr>
            <w:tcW w:w="0" w:type="auto"/>
            <w:tcBorders>
              <w:right w:val="nil"/>
              <w:insideV w:val="nil"/>
            </w:tcBorders>
            <w:shd w:val="clear" w:color="auto" w:fill="E6EED5" w:themeFill="accent3" w:themeFillTint="3F"/>
          </w:tcPr>
          <w:p w14:paraId="16DAC37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5</w:t>
            </w:r>
          </w:p>
        </w:tc>
      </w:tr>
      <w:tr w14:paraId="6127850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78D6B2E">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4.04</w:t>
            </w:r>
          </w:p>
        </w:tc>
        <w:tc>
          <w:tcPr>
            <w:tcW w:w="0" w:type="auto"/>
          </w:tcPr>
          <w:p w14:paraId="63E09C7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0.88</w:t>
            </w:r>
          </w:p>
        </w:tc>
        <w:tc>
          <w:tcPr>
            <w:tcW w:w="0" w:type="auto"/>
          </w:tcPr>
          <w:p w14:paraId="5A5198B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فقدت الروتين اليومي الذي كان يُشعرني بالاستقرار</w:t>
            </w:r>
            <w:r>
              <w:rPr>
                <w:rFonts w:ascii="Simplified Arabic" w:hAnsi="Simplified Arabic" w:eastAsia="Times New Roman" w:cs="Simplified Arabic"/>
                <w:color w:val="77933C" w:themeColor="accent3" w:themeShade="BF"/>
                <w:sz w:val="24"/>
                <w:szCs w:val="24"/>
              </w:rPr>
              <w:t>"</w:t>
            </w:r>
          </w:p>
        </w:tc>
        <w:tc>
          <w:tcPr>
            <w:tcW w:w="0" w:type="auto"/>
          </w:tcPr>
          <w:p w14:paraId="4605132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w:t>
            </w:r>
          </w:p>
        </w:tc>
        <w:tc>
          <w:tcPr>
            <w:tcW w:w="0" w:type="auto"/>
          </w:tcPr>
          <w:p w14:paraId="78085E2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w:t>
            </w:r>
          </w:p>
        </w:tc>
      </w:tr>
      <w:tr w14:paraId="701BACCE">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3CF62DE2">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3.87</w:t>
            </w:r>
          </w:p>
        </w:tc>
        <w:tc>
          <w:tcPr>
            <w:tcW w:w="0" w:type="auto"/>
            <w:tcBorders>
              <w:right w:val="nil"/>
              <w:insideV w:val="nil"/>
            </w:tcBorders>
            <w:shd w:val="clear" w:color="auto" w:fill="E6EED5" w:themeFill="accent3" w:themeFillTint="3F"/>
          </w:tcPr>
          <w:p w14:paraId="2E5BC6A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1.12</w:t>
            </w:r>
          </w:p>
        </w:tc>
        <w:tc>
          <w:tcPr>
            <w:tcW w:w="0" w:type="auto"/>
            <w:tcBorders>
              <w:right w:val="nil"/>
              <w:insideV w:val="nil"/>
            </w:tcBorders>
            <w:shd w:val="clear" w:color="auto" w:fill="E6EED5" w:themeFill="accent3" w:themeFillTint="3F"/>
          </w:tcPr>
          <w:p w14:paraId="537D732F">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لا أثق أنني سأكمل تعليمي</w:t>
            </w:r>
            <w:r>
              <w:rPr>
                <w:rFonts w:ascii="Simplified Arabic" w:hAnsi="Simplified Arabic" w:eastAsia="Times New Roman" w:cs="Simplified Arabic"/>
                <w:color w:val="77933C" w:themeColor="accent3" w:themeShade="BF"/>
                <w:sz w:val="24"/>
                <w:szCs w:val="24"/>
              </w:rPr>
              <w:t>"</w:t>
            </w:r>
          </w:p>
        </w:tc>
        <w:tc>
          <w:tcPr>
            <w:tcW w:w="0" w:type="auto"/>
            <w:tcBorders>
              <w:right w:val="nil"/>
              <w:insideV w:val="nil"/>
            </w:tcBorders>
            <w:shd w:val="clear" w:color="auto" w:fill="E6EED5" w:themeFill="accent3" w:themeFillTint="3F"/>
          </w:tcPr>
          <w:p w14:paraId="4370DFE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w:t>
            </w:r>
          </w:p>
        </w:tc>
        <w:tc>
          <w:tcPr>
            <w:tcW w:w="0" w:type="auto"/>
            <w:tcBorders>
              <w:right w:val="nil"/>
              <w:insideV w:val="nil"/>
            </w:tcBorders>
            <w:shd w:val="clear" w:color="auto" w:fill="E6EED5" w:themeFill="accent3" w:themeFillTint="3F"/>
          </w:tcPr>
          <w:p w14:paraId="57AC06C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7</w:t>
            </w:r>
          </w:p>
        </w:tc>
      </w:tr>
      <w:tr w14:paraId="06C7818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507B7746">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3.73</w:t>
            </w:r>
          </w:p>
        </w:tc>
        <w:tc>
          <w:tcPr>
            <w:tcW w:w="0" w:type="auto"/>
          </w:tcPr>
          <w:p w14:paraId="1202C37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1.08</w:t>
            </w:r>
          </w:p>
        </w:tc>
        <w:tc>
          <w:tcPr>
            <w:tcW w:w="0" w:type="auto"/>
          </w:tcPr>
          <w:p w14:paraId="6B711B1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أجد صعوبة في رواية 'قصة حياتي' بشكل متماسك</w:t>
            </w:r>
            <w:r>
              <w:rPr>
                <w:rFonts w:ascii="Simplified Arabic" w:hAnsi="Simplified Arabic" w:eastAsia="Times New Roman" w:cs="Simplified Arabic"/>
                <w:color w:val="77933C" w:themeColor="accent3" w:themeShade="BF"/>
                <w:sz w:val="24"/>
                <w:szCs w:val="24"/>
              </w:rPr>
              <w:t>"</w:t>
            </w:r>
          </w:p>
        </w:tc>
        <w:tc>
          <w:tcPr>
            <w:tcW w:w="0" w:type="auto"/>
          </w:tcPr>
          <w:p w14:paraId="2B0A493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w:t>
            </w:r>
          </w:p>
        </w:tc>
        <w:tc>
          <w:tcPr>
            <w:tcW w:w="0" w:type="auto"/>
          </w:tcPr>
          <w:p w14:paraId="3F8FE01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w:t>
            </w:r>
          </w:p>
        </w:tc>
      </w:tr>
      <w:tr w14:paraId="75E1B7C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1DBC7F0A">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4.18</w:t>
            </w:r>
          </w:p>
        </w:tc>
        <w:tc>
          <w:tcPr>
            <w:tcW w:w="0" w:type="auto"/>
            <w:tcBorders>
              <w:right w:val="nil"/>
              <w:insideV w:val="nil"/>
            </w:tcBorders>
            <w:shd w:val="clear" w:color="auto" w:fill="E6EED5" w:themeFill="accent3" w:themeFillTint="3F"/>
          </w:tcPr>
          <w:p w14:paraId="283FD78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0.65</w:t>
            </w:r>
          </w:p>
        </w:tc>
        <w:tc>
          <w:tcPr>
            <w:tcW w:w="0" w:type="auto"/>
            <w:tcBorders>
              <w:right w:val="nil"/>
              <w:insideV w:val="nil"/>
            </w:tcBorders>
            <w:shd w:val="clear" w:color="auto" w:fill="E6EED5" w:themeFill="accent3" w:themeFillTint="3F"/>
          </w:tcPr>
          <w:p w14:paraId="50FA1459">
            <w:pPr>
              <w:bidi/>
              <w:spacing w:after="0" w:line="240" w:lineRule="auto"/>
              <w:rPr>
                <w:rFonts w:ascii="Simplified Arabic" w:hAnsi="Simplified Arabic" w:eastAsia="Times New Roman" w:cs="Simplified Arabic"/>
                <w:color w:val="77933C" w:themeColor="accent3" w:themeShade="BF"/>
                <w:sz w:val="24"/>
                <w:szCs w:val="24"/>
              </w:rPr>
            </w:pPr>
          </w:p>
        </w:tc>
        <w:tc>
          <w:tcPr>
            <w:tcW w:w="0" w:type="auto"/>
            <w:tcBorders>
              <w:right w:val="nil"/>
              <w:insideV w:val="nil"/>
            </w:tcBorders>
            <w:shd w:val="clear" w:color="auto" w:fill="E6EED5" w:themeFill="accent3" w:themeFillTint="3F"/>
          </w:tcPr>
          <w:p w14:paraId="7FDABBB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مرتفع جداً</w:t>
            </w:r>
          </w:p>
        </w:tc>
        <w:tc>
          <w:tcPr>
            <w:tcW w:w="0" w:type="auto"/>
            <w:tcBorders>
              <w:right w:val="nil"/>
              <w:insideV w:val="nil"/>
            </w:tcBorders>
            <w:shd w:val="clear" w:color="auto" w:fill="E6EED5" w:themeFill="accent3" w:themeFillTint="3F"/>
          </w:tcPr>
          <w:p w14:paraId="1E33695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المتوسط العام</w:t>
            </w:r>
          </w:p>
        </w:tc>
      </w:tr>
    </w:tbl>
    <w:p w14:paraId="322A0A93">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يُلاحظ من الجدول (7) أن المتوسط العام للمقياس بلغ 4.18 من 5 (مرتفع جداً). أعلى العبارات كانت: «شعرت أن جزءاً من هويتي ضاع» (4.56)، و«فقدت القدرة على تخيّل مستقبلي» (4.42)، و«أشعر أن كل شيء انهار» (4.38). هذه النتائج تشير إلى أن إبادة التعليم تضرب الأعمدة الثلاثة للأمن الوجودي دفعة واحدة: استقرار الروتين (4.04)، التماسك السردي للذات (3.73)، والثقة بالمستقبل (3.87</w:t>
      </w:r>
      <w:r>
        <w:rPr>
          <w:rFonts w:ascii="Simplified Arabic" w:hAnsi="Simplified Arabic" w:eastAsia="Times New Roman" w:cs="Simplified Arabic"/>
          <w:b/>
          <w:bCs/>
          <w:sz w:val="24"/>
          <w:szCs w:val="24"/>
        </w:rPr>
        <w:t xml:space="preserve"> (Giddens, 1991, pp. 92–93).</w:t>
      </w:r>
    </w:p>
    <w:p w14:paraId="58E1BA96">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استجابات مقياس الأمن الوجودي وتحليلها إحصائياً (2024</w:t>
      </w:r>
      <w:r>
        <w:rPr>
          <w:rFonts w:hint="cs" w:ascii="Simplified Arabic" w:hAnsi="Simplified Arabic" w:eastAsia="Times New Roman" w:cs="Simplified Arabic"/>
          <w:i/>
          <w:iCs/>
          <w:sz w:val="24"/>
          <w:szCs w:val="24"/>
          <w:rtl/>
        </w:rPr>
        <w:t>)</w:t>
      </w:r>
      <w:r>
        <w:rPr>
          <w:rFonts w:ascii="Simplified Arabic" w:hAnsi="Simplified Arabic" w:eastAsia="Times New Roman" w:cs="Simplified Arabic"/>
          <w:i/>
          <w:iCs/>
          <w:sz w:val="24"/>
          <w:szCs w:val="24"/>
        </w:rPr>
        <w:t>.</w:t>
      </w:r>
    </w:p>
    <w:p w14:paraId="50E94717">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Pr>
        <w:t xml:space="preserve">3. </w:t>
      </w:r>
      <w:r>
        <w:rPr>
          <w:rFonts w:ascii="Simplified Arabic" w:hAnsi="Simplified Arabic" w:eastAsia="Times New Roman" w:cs="Simplified Arabic"/>
          <w:b/>
          <w:bCs/>
          <w:sz w:val="27"/>
          <w:szCs w:val="27"/>
          <w:rtl/>
        </w:rPr>
        <w:t>مفردات القلق الوجودي في الخطاب النوعي</w:t>
      </w:r>
    </w:p>
    <w:p w14:paraId="45215DBE">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يكشف الجدول (8) عن تكرار مفردات القلق الوجودي في خطابات المشاركين من غزة (45 مقابلة</w:t>
      </w:r>
      <w:r>
        <w:rPr>
          <w:rFonts w:ascii="Simplified Arabic" w:hAnsi="Simplified Arabic" w:eastAsia="Times New Roman" w:cs="Simplified Arabic"/>
          <w:b/>
          <w:bCs/>
          <w:sz w:val="24"/>
          <w:szCs w:val="24"/>
        </w:rPr>
        <w:t>).</w:t>
      </w:r>
    </w:p>
    <w:p w14:paraId="4C1054DE">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(8): تكرار مفردات القلق الوجودي في خطابات المشاركين من غزة</w:t>
      </w:r>
      <w:r>
        <w:rPr>
          <w:rFonts w:ascii="Simplified Arabic" w:hAnsi="Simplified Arabic" w:eastAsia="Times New Roman" w:cs="Simplified Arabic"/>
          <w:b/>
          <w:bCs/>
          <w:sz w:val="24"/>
          <w:szCs w:val="24"/>
        </w:rPr>
        <w:t xml:space="preserve"> (n=45)</w:t>
      </w:r>
    </w:p>
    <w:tbl>
      <w:tblPr>
        <w:tblStyle w:val="13"/>
        <w:tblW w:w="8420" w:type="dxa"/>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59"/>
        <w:gridCol w:w="1054"/>
        <w:gridCol w:w="832"/>
        <w:gridCol w:w="3175"/>
      </w:tblGrid>
      <w:tr w14:paraId="19A0433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2679C619">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الدلالة الوجودية</w:t>
            </w:r>
          </w:p>
        </w:tc>
        <w:tc>
          <w:tcPr>
            <w:tcW w:w="0" w:type="auto"/>
            <w:tcBorders>
              <w:top w:val="single" w:color="9BBB59" w:themeColor="accent3" w:sz="8" w:space="0"/>
              <w:bottom w:val="single" w:color="9BBB59" w:themeColor="accent3" w:sz="8" w:space="0"/>
              <w:right w:val="nil"/>
              <w:insideH w:val="single" w:sz="8" w:space="0"/>
              <w:insideV w:val="nil"/>
            </w:tcBorders>
          </w:tcPr>
          <w:p w14:paraId="2C3E0E59">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النسبة</w:t>
            </w:r>
          </w:p>
        </w:tc>
        <w:tc>
          <w:tcPr>
            <w:tcW w:w="0" w:type="auto"/>
            <w:tcBorders>
              <w:top w:val="single" w:color="9BBB59" w:themeColor="accent3" w:sz="8" w:space="0"/>
              <w:bottom w:val="single" w:color="9BBB59" w:themeColor="accent3" w:sz="8" w:space="0"/>
              <w:right w:val="nil"/>
              <w:insideH w:val="single" w:sz="8" w:space="0"/>
              <w:insideV w:val="nil"/>
            </w:tcBorders>
          </w:tcPr>
          <w:p w14:paraId="046B4A76">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التكرار</w:t>
            </w:r>
          </w:p>
        </w:tc>
        <w:tc>
          <w:tcPr>
            <w:tcW w:w="0" w:type="auto"/>
            <w:tcBorders>
              <w:top w:val="single" w:color="9BBB59" w:themeColor="accent3" w:sz="8" w:space="0"/>
              <w:bottom w:val="single" w:color="9BBB59" w:themeColor="accent3" w:sz="8" w:space="0"/>
              <w:right w:val="nil"/>
              <w:insideH w:val="single" w:sz="8" w:space="0"/>
              <w:insideV w:val="nil"/>
            </w:tcBorders>
          </w:tcPr>
          <w:p w14:paraId="58E21442">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العبارة</w:t>
            </w:r>
          </w:p>
        </w:tc>
      </w:tr>
      <w:tr w14:paraId="16ECF10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029B0CC4">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فقدان القدرة على التخطيط الزمني</w:t>
            </w:r>
          </w:p>
        </w:tc>
        <w:tc>
          <w:tcPr>
            <w:tcW w:w="0" w:type="auto"/>
            <w:tcBorders>
              <w:right w:val="nil"/>
              <w:insideV w:val="nil"/>
            </w:tcBorders>
            <w:shd w:val="clear" w:color="auto" w:fill="E6EED5" w:themeFill="accent3" w:themeFillTint="3F"/>
          </w:tcPr>
          <w:p w14:paraId="516CADF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93.3%</w:t>
            </w:r>
          </w:p>
        </w:tc>
        <w:tc>
          <w:tcPr>
            <w:tcW w:w="0" w:type="auto"/>
            <w:tcBorders>
              <w:right w:val="nil"/>
              <w:insideV w:val="nil"/>
            </w:tcBorders>
            <w:shd w:val="clear" w:color="auto" w:fill="E6EED5" w:themeFill="accent3" w:themeFillTint="3F"/>
          </w:tcPr>
          <w:p w14:paraId="308EACC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42</w:t>
            </w:r>
          </w:p>
        </w:tc>
        <w:tc>
          <w:tcPr>
            <w:tcW w:w="0" w:type="auto"/>
            <w:tcBorders>
              <w:right w:val="nil"/>
              <w:insideV w:val="nil"/>
            </w:tcBorders>
            <w:shd w:val="clear" w:color="auto" w:fill="E6EED5" w:themeFill="accent3" w:themeFillTint="3F"/>
          </w:tcPr>
          <w:p w14:paraId="50BF4B9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فقدت المستقبل</w:t>
            </w:r>
            <w:r>
              <w:rPr>
                <w:rFonts w:ascii="Simplified Arabic" w:hAnsi="Simplified Arabic" w:eastAsia="Times New Roman" w:cs="Simplified Arabic"/>
                <w:color w:val="77933C" w:themeColor="accent3" w:themeShade="BF"/>
                <w:sz w:val="24"/>
                <w:szCs w:val="24"/>
              </w:rPr>
              <w:t>"</w:t>
            </w:r>
          </w:p>
        </w:tc>
      </w:tr>
      <w:tr w14:paraId="270FF4F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420588DA">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ربط التعليم بالوجود</w:t>
            </w:r>
          </w:p>
        </w:tc>
        <w:tc>
          <w:tcPr>
            <w:tcW w:w="0" w:type="auto"/>
          </w:tcPr>
          <w:p w14:paraId="6F87F34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86.7%</w:t>
            </w:r>
          </w:p>
        </w:tc>
        <w:tc>
          <w:tcPr>
            <w:tcW w:w="0" w:type="auto"/>
          </w:tcPr>
          <w:p w14:paraId="05901F2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39</w:t>
            </w:r>
          </w:p>
        </w:tc>
        <w:tc>
          <w:tcPr>
            <w:tcW w:w="0" w:type="auto"/>
          </w:tcPr>
          <w:p w14:paraId="5329F12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ما دمنا نتعلم، ما زلنا موجودين</w:t>
            </w:r>
            <w:r>
              <w:rPr>
                <w:rFonts w:ascii="Simplified Arabic" w:hAnsi="Simplified Arabic" w:eastAsia="Times New Roman" w:cs="Simplified Arabic"/>
                <w:color w:val="77933C" w:themeColor="accent3" w:themeShade="BF"/>
                <w:sz w:val="24"/>
                <w:szCs w:val="24"/>
              </w:rPr>
              <w:t>"</w:t>
            </w:r>
          </w:p>
        </w:tc>
      </w:tr>
      <w:tr w14:paraId="5648FE88">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374B768D">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انهيار اليقين الوجودي</w:t>
            </w:r>
          </w:p>
        </w:tc>
        <w:tc>
          <w:tcPr>
            <w:tcW w:w="0" w:type="auto"/>
            <w:tcBorders>
              <w:right w:val="nil"/>
              <w:insideV w:val="nil"/>
            </w:tcBorders>
            <w:shd w:val="clear" w:color="auto" w:fill="E6EED5" w:themeFill="accent3" w:themeFillTint="3F"/>
          </w:tcPr>
          <w:p w14:paraId="698A0F3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77.8%</w:t>
            </w:r>
          </w:p>
        </w:tc>
        <w:tc>
          <w:tcPr>
            <w:tcW w:w="0" w:type="auto"/>
            <w:tcBorders>
              <w:right w:val="nil"/>
              <w:insideV w:val="nil"/>
            </w:tcBorders>
            <w:shd w:val="clear" w:color="auto" w:fill="E6EED5" w:themeFill="accent3" w:themeFillTint="3F"/>
          </w:tcPr>
          <w:p w14:paraId="1CE2A46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35</w:t>
            </w:r>
          </w:p>
        </w:tc>
        <w:tc>
          <w:tcPr>
            <w:tcW w:w="0" w:type="auto"/>
            <w:tcBorders>
              <w:right w:val="nil"/>
              <w:insideV w:val="nil"/>
            </w:tcBorders>
            <w:shd w:val="clear" w:color="auto" w:fill="E6EED5" w:themeFill="accent3" w:themeFillTint="3F"/>
          </w:tcPr>
          <w:p w14:paraId="019946D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انهار كل شيء</w:t>
            </w:r>
            <w:r>
              <w:rPr>
                <w:rFonts w:ascii="Simplified Arabic" w:hAnsi="Simplified Arabic" w:eastAsia="Times New Roman" w:cs="Simplified Arabic"/>
                <w:color w:val="77933C" w:themeColor="accent3" w:themeShade="BF"/>
                <w:sz w:val="24"/>
                <w:szCs w:val="24"/>
              </w:rPr>
              <w:t>"</w:t>
            </w:r>
          </w:p>
        </w:tc>
      </w:tr>
      <w:tr w14:paraId="32025D6A">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1045172">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تفكك الهوية الذاتية</w:t>
            </w:r>
          </w:p>
        </w:tc>
        <w:tc>
          <w:tcPr>
            <w:tcW w:w="0" w:type="auto"/>
          </w:tcPr>
          <w:p w14:paraId="7B011A2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62.2%</w:t>
            </w:r>
          </w:p>
        </w:tc>
        <w:tc>
          <w:tcPr>
            <w:tcW w:w="0" w:type="auto"/>
          </w:tcPr>
          <w:p w14:paraId="32CD77C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28</w:t>
            </w:r>
          </w:p>
        </w:tc>
        <w:tc>
          <w:tcPr>
            <w:tcW w:w="0" w:type="auto"/>
          </w:tcPr>
          <w:p w14:paraId="3628BB9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لا أعرف من أنا</w:t>
            </w:r>
            <w:r>
              <w:rPr>
                <w:rFonts w:ascii="Simplified Arabic" w:hAnsi="Simplified Arabic" w:eastAsia="Times New Roman" w:cs="Simplified Arabic"/>
                <w:color w:val="77933C" w:themeColor="accent3" w:themeShade="BF"/>
                <w:sz w:val="24"/>
                <w:szCs w:val="24"/>
              </w:rPr>
              <w:t>"</w:t>
            </w:r>
          </w:p>
        </w:tc>
      </w:tr>
      <w:tr w14:paraId="3A42D442">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CF2C00C">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انقطاع الاستمرارية الذاتية</w:t>
            </w:r>
          </w:p>
        </w:tc>
        <w:tc>
          <w:tcPr>
            <w:tcW w:w="0" w:type="auto"/>
            <w:tcBorders>
              <w:right w:val="nil"/>
              <w:insideV w:val="nil"/>
            </w:tcBorders>
            <w:shd w:val="clear" w:color="auto" w:fill="E6EED5" w:themeFill="accent3" w:themeFillTint="3F"/>
          </w:tcPr>
          <w:p w14:paraId="55FA7FF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68.9%</w:t>
            </w:r>
          </w:p>
        </w:tc>
        <w:tc>
          <w:tcPr>
            <w:tcW w:w="0" w:type="auto"/>
            <w:tcBorders>
              <w:right w:val="nil"/>
              <w:insideV w:val="nil"/>
            </w:tcBorders>
            <w:shd w:val="clear" w:color="auto" w:fill="E6EED5" w:themeFill="accent3" w:themeFillTint="3F"/>
          </w:tcPr>
          <w:p w14:paraId="4BFE3A3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31</w:t>
            </w:r>
          </w:p>
        </w:tc>
        <w:tc>
          <w:tcPr>
            <w:tcW w:w="0" w:type="auto"/>
            <w:tcBorders>
              <w:right w:val="nil"/>
              <w:insideV w:val="nil"/>
            </w:tcBorders>
            <w:shd w:val="clear" w:color="auto" w:fill="E6EED5" w:themeFill="accent3" w:themeFillTint="3F"/>
          </w:tcPr>
          <w:p w14:paraId="0A213E2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w:t>
            </w:r>
            <w:r>
              <w:rPr>
                <w:rFonts w:ascii="Simplified Arabic" w:hAnsi="Simplified Arabic" w:eastAsia="Times New Roman" w:cs="Simplified Arabic"/>
                <w:color w:val="77933C" w:themeColor="accent3" w:themeShade="BF"/>
                <w:sz w:val="24"/>
                <w:szCs w:val="24"/>
                <w:rtl/>
              </w:rPr>
              <w:t>كنت..، الآن لست</w:t>
            </w:r>
            <w:r>
              <w:rPr>
                <w:rFonts w:ascii="Simplified Arabic" w:hAnsi="Simplified Arabic" w:eastAsia="Times New Roman" w:cs="Simplified Arabic"/>
                <w:color w:val="77933C" w:themeColor="accent3" w:themeShade="BF"/>
                <w:sz w:val="24"/>
                <w:szCs w:val="24"/>
              </w:rPr>
              <w:t>.."</w:t>
            </w:r>
          </w:p>
        </w:tc>
      </w:tr>
    </w:tbl>
    <w:p w14:paraId="77FCC112">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يبيّن الجدول (8) أن 93.3% من المشاركين استخدموا عبارة «فقدت المستقبل»، مما يعكس انقطاعاً حاداً في الزمن الوجودي. بالمقابل، ظهرت عبارة «ما دمنا نتعلم، ما زلنا موجودين» في 86.7% من المقابلات، مما يكشف وعياً حدسياً بالعلاقة بين التعليم والوجود. هذه النتيجة حاسمة: الفلسطينيون لا يعبّرون عن التعليم كخدمة، بل كشرط للوجود ذاته</w:t>
      </w:r>
      <w:r>
        <w:rPr>
          <w:rFonts w:ascii="Simplified Arabic" w:hAnsi="Simplified Arabic" w:eastAsia="Times New Roman" w:cs="Simplified Arabic"/>
          <w:b/>
          <w:bCs/>
          <w:sz w:val="24"/>
          <w:szCs w:val="24"/>
        </w:rPr>
        <w:t>.</w:t>
      </w:r>
    </w:p>
    <w:p w14:paraId="653CA354">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تحليل المقابلات المعمقة وفق منهج</w:t>
      </w:r>
      <w:r>
        <w:rPr>
          <w:rFonts w:ascii="Simplified Arabic" w:hAnsi="Simplified Arabic" w:eastAsia="Times New Roman" w:cs="Simplified Arabic"/>
          <w:i/>
          <w:iCs/>
          <w:sz w:val="24"/>
          <w:szCs w:val="24"/>
        </w:rPr>
        <w:t xml:space="preserve"> EDA (2024).</w:t>
      </w:r>
    </w:p>
    <w:p w14:paraId="535D13C7">
      <w:pPr>
        <w:bidi/>
      </w:pPr>
    </w:p>
    <w:p w14:paraId="23C5E409">
      <w:pPr>
        <w:bidi/>
        <w:spacing w:before="100" w:beforeAutospacing="1" w:after="100" w:afterAutospacing="1" w:line="240" w:lineRule="auto"/>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tl/>
        </w:rPr>
        <w:t>رابعاً: إجابات السؤال الثالث</w:t>
      </w:r>
    </w:p>
    <w:p w14:paraId="3F58B19F">
      <w:pPr>
        <w:bidi/>
        <w:spacing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rPr>
        <w:t>السؤال الثالث: كيف تتحول المؤسسة التعليمية الفلسطينية من موضوع للعنف إلى فاعل في التوثيق والشهادة والمقاومة المعرفية؟</w:t>
      </w:r>
    </w:p>
    <w:p w14:paraId="25DE8AAF">
      <w:pPr>
        <w:bidi/>
        <w:spacing w:before="100" w:beforeAutospacing="1" w:after="100" w:afterAutospacing="1" w:line="24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 xml:space="preserve">1. </w:t>
      </w:r>
      <w:r>
        <w:rPr>
          <w:rFonts w:ascii="Times New Roman" w:hAnsi="Times New Roman" w:eastAsia="Times New Roman" w:cs="Times New Roman"/>
          <w:b/>
          <w:bCs/>
          <w:sz w:val="27"/>
          <w:szCs w:val="27"/>
          <w:rtl/>
        </w:rPr>
        <w:t>التعليم في الخيام: الجامعة بوصفها فعل وجود</w:t>
      </w:r>
    </w:p>
    <w:p w14:paraId="5833C920">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rPr>
        <w:t>يكشف الجدول (9) خصائص 15 حالة موثقة من «الجامعات في الخيام» التي نشأت في غزة أثناء النزوح</w:t>
      </w:r>
      <w:r>
        <w:rPr>
          <w:rFonts w:ascii="Times New Roman" w:hAnsi="Times New Roman" w:eastAsia="Times New Roman" w:cs="Times New Roman"/>
          <w:b/>
          <w:bCs/>
          <w:sz w:val="24"/>
          <w:szCs w:val="24"/>
        </w:rPr>
        <w:t>.</w:t>
      </w:r>
    </w:p>
    <w:p w14:paraId="262CE655">
      <w:pPr>
        <w:bidi/>
        <w:spacing w:before="100" w:beforeAutospacing="1" w:after="100" w:afterAutospacing="1" w:line="240" w:lineRule="auto"/>
        <w:outlineLvl w:val="3"/>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rPr>
        <w:t>الجدول (9): خصائص «الجامعات في الخيام» في غزة</w:t>
      </w:r>
      <w:r>
        <w:rPr>
          <w:rFonts w:ascii="Times New Roman" w:hAnsi="Times New Roman" w:eastAsia="Times New Roman" w:cs="Times New Roman"/>
          <w:b/>
          <w:bCs/>
          <w:sz w:val="24"/>
          <w:szCs w:val="24"/>
        </w:rPr>
        <w:t xml:space="preserve"> (n = 15)</w:t>
      </w:r>
    </w:p>
    <w:tbl>
      <w:tblPr>
        <w:tblStyle w:val="13"/>
        <w:tblW w:w="7648" w:type="dxa"/>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35"/>
        <w:gridCol w:w="3400"/>
        <w:gridCol w:w="1313"/>
      </w:tblGrid>
      <w:tr w14:paraId="4460FB8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29D08565">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الدلالة الوجودية</w:t>
            </w:r>
          </w:p>
        </w:tc>
        <w:tc>
          <w:tcPr>
            <w:tcW w:w="0" w:type="auto"/>
            <w:tcBorders>
              <w:top w:val="single" w:color="9BBB59" w:themeColor="accent3" w:sz="8" w:space="0"/>
              <w:bottom w:val="single" w:color="9BBB59" w:themeColor="accent3" w:sz="8" w:space="0"/>
              <w:right w:val="nil"/>
              <w:insideH w:val="single" w:sz="8" w:space="0"/>
              <w:insideV w:val="nil"/>
            </w:tcBorders>
          </w:tcPr>
          <w:p w14:paraId="17BBF0F4">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الممارسة</w:t>
            </w:r>
          </w:p>
        </w:tc>
        <w:tc>
          <w:tcPr>
            <w:tcW w:w="0" w:type="auto"/>
            <w:tcBorders>
              <w:top w:val="single" w:color="9BBB59" w:themeColor="accent3" w:sz="8" w:space="0"/>
              <w:bottom w:val="single" w:color="9BBB59" w:themeColor="accent3" w:sz="8" w:space="0"/>
              <w:right w:val="nil"/>
              <w:insideH w:val="single" w:sz="8" w:space="0"/>
              <w:insideV w:val="nil"/>
            </w:tcBorders>
          </w:tcPr>
          <w:p w14:paraId="14783FCF">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البعد</w:t>
            </w:r>
          </w:p>
        </w:tc>
      </w:tr>
      <w:tr w14:paraId="2A8229F0">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13F0BB6">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إعادة إنتاج المؤسسة رغم تدميرها</w:t>
            </w:r>
          </w:p>
        </w:tc>
        <w:tc>
          <w:tcPr>
            <w:tcW w:w="0" w:type="auto"/>
            <w:tcBorders>
              <w:right w:val="nil"/>
              <w:insideV w:val="nil"/>
            </w:tcBorders>
            <w:shd w:val="clear" w:color="auto" w:fill="E6EED5" w:themeFill="accent3" w:themeFillTint="3F"/>
          </w:tcPr>
          <w:p w14:paraId="4253D3EC">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خيام تعليمية في مخيمات النزوح</w:t>
            </w:r>
          </w:p>
        </w:tc>
        <w:tc>
          <w:tcPr>
            <w:tcW w:w="0" w:type="auto"/>
            <w:tcBorders>
              <w:right w:val="nil"/>
              <w:insideV w:val="nil"/>
            </w:tcBorders>
            <w:shd w:val="clear" w:color="auto" w:fill="E6EED5" w:themeFill="accent3" w:themeFillTint="3F"/>
          </w:tcPr>
          <w:p w14:paraId="4E4FA570">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الفضاء</w:t>
            </w:r>
          </w:p>
        </w:tc>
      </w:tr>
      <w:tr w14:paraId="3FE5633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59FF6EC9">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تركيز على الذاكرة والهوية</w:t>
            </w:r>
          </w:p>
        </w:tc>
        <w:tc>
          <w:tcPr>
            <w:tcW w:w="0" w:type="auto"/>
          </w:tcPr>
          <w:p w14:paraId="36DB3449">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نظرية فقط (تاريخ، أدب، فلسفة</w:t>
            </w:r>
            <w:r>
              <w:rPr>
                <w:rFonts w:hint="cs" w:ascii="Times New Roman" w:hAnsi="Times New Roman" w:eastAsia="Times New Roman" w:cs="Times New Roman"/>
                <w:color w:val="77933C" w:themeColor="accent3" w:themeShade="BF"/>
                <w:sz w:val="24"/>
                <w:szCs w:val="24"/>
                <w:rtl/>
              </w:rPr>
              <w:t>)</w:t>
            </w:r>
          </w:p>
        </w:tc>
        <w:tc>
          <w:tcPr>
            <w:tcW w:w="0" w:type="auto"/>
          </w:tcPr>
          <w:p w14:paraId="6D761E5B">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المواد</w:t>
            </w:r>
          </w:p>
        </w:tc>
      </w:tr>
      <w:tr w14:paraId="702F19FC">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66C6E4DF">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مقاومة المحو المعرفي بأدنى الإمكانات</w:t>
            </w:r>
          </w:p>
        </w:tc>
        <w:tc>
          <w:tcPr>
            <w:tcW w:w="0" w:type="auto"/>
            <w:tcBorders>
              <w:right w:val="nil"/>
              <w:insideV w:val="nil"/>
            </w:tcBorders>
            <w:shd w:val="clear" w:color="auto" w:fill="E6EED5" w:themeFill="accent3" w:themeFillTint="3F"/>
          </w:tcPr>
          <w:p w14:paraId="34F9491D">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التدريس من الذاكرة، غياب الكهرباء والسبورة</w:t>
            </w:r>
          </w:p>
        </w:tc>
        <w:tc>
          <w:tcPr>
            <w:tcW w:w="0" w:type="auto"/>
            <w:tcBorders>
              <w:right w:val="nil"/>
              <w:insideV w:val="nil"/>
            </w:tcBorders>
            <w:shd w:val="clear" w:color="auto" w:fill="E6EED5" w:themeFill="accent3" w:themeFillTint="3F"/>
          </w:tcPr>
          <w:p w14:paraId="374B4BE1">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الوسيلة</w:t>
            </w:r>
          </w:p>
        </w:tc>
      </w:tr>
      <w:tr w14:paraId="1FD5F61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B05DDDB">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التكيف مع منطق البقاء</w:t>
            </w:r>
          </w:p>
        </w:tc>
        <w:tc>
          <w:tcPr>
            <w:tcW w:w="0" w:type="auto"/>
          </w:tcPr>
          <w:p w14:paraId="6AE781B9">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التعليم بعد الغروب (لتجنب القصف</w:t>
            </w:r>
            <w:r>
              <w:rPr>
                <w:rFonts w:hint="cs" w:ascii="Times New Roman" w:hAnsi="Times New Roman" w:eastAsia="Times New Roman" w:cs="Times New Roman"/>
                <w:color w:val="77933C" w:themeColor="accent3" w:themeShade="BF"/>
                <w:sz w:val="24"/>
                <w:szCs w:val="24"/>
                <w:rtl/>
              </w:rPr>
              <w:t>)</w:t>
            </w:r>
          </w:p>
        </w:tc>
        <w:tc>
          <w:tcPr>
            <w:tcW w:w="0" w:type="auto"/>
          </w:tcPr>
          <w:p w14:paraId="1BEB044F">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الزمن</w:t>
            </w:r>
          </w:p>
        </w:tc>
      </w:tr>
      <w:tr w14:paraId="7D709D5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3C10F4ED">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ربط التعليم بالوجود</w:t>
            </w:r>
          </w:p>
        </w:tc>
        <w:tc>
          <w:tcPr>
            <w:tcW w:w="0" w:type="auto"/>
            <w:tcBorders>
              <w:right w:val="nil"/>
              <w:insideV w:val="nil"/>
            </w:tcBorders>
            <w:shd w:val="clear" w:color="auto" w:fill="E6EED5" w:themeFill="accent3" w:themeFillTint="3F"/>
          </w:tcPr>
          <w:p w14:paraId="2E7B68AF">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w:t>
            </w:r>
            <w:r>
              <w:rPr>
                <w:rFonts w:ascii="Times New Roman" w:hAnsi="Times New Roman" w:eastAsia="Times New Roman" w:cs="Times New Roman"/>
                <w:color w:val="77933C" w:themeColor="accent3" w:themeShade="BF"/>
                <w:sz w:val="24"/>
                <w:szCs w:val="24"/>
                <w:rtl/>
              </w:rPr>
              <w:t>ما دمنا نتعلم، ما زلنا موجودين</w:t>
            </w:r>
            <w:r>
              <w:rPr>
                <w:rFonts w:ascii="Times New Roman" w:hAnsi="Times New Roman" w:eastAsia="Times New Roman" w:cs="Times New Roman"/>
                <w:color w:val="77933C" w:themeColor="accent3" w:themeShade="BF"/>
                <w:sz w:val="24"/>
                <w:szCs w:val="24"/>
              </w:rPr>
              <w:t>" (80%)</w:t>
            </w:r>
          </w:p>
        </w:tc>
        <w:tc>
          <w:tcPr>
            <w:tcW w:w="0" w:type="auto"/>
            <w:tcBorders>
              <w:right w:val="nil"/>
              <w:insideV w:val="nil"/>
            </w:tcBorders>
            <w:shd w:val="clear" w:color="auto" w:fill="E6EED5" w:themeFill="accent3" w:themeFillTint="3F"/>
          </w:tcPr>
          <w:p w14:paraId="36202E88">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tl/>
              </w:rPr>
              <w:t>الدافع المركزي</w:t>
            </w:r>
          </w:p>
        </w:tc>
      </w:tr>
    </w:tbl>
    <w:p w14:paraId="7F1F8169">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rPr>
        <w:t>يُظهر الجدول (9) أن هذه الجامعات المؤقتة نشأت في ظروف بدائية للغاية، حيث اعتمدت على الذاكرة والكتب الناجية، وغابت عنها البنية التحتية الأساسية. الدافع المركزي (80%) كان عبارة «ما دمنا نتعلم، ما زلنا موجودين»، مما يحول التعليم إلى إعلان وجود في مواجهة الإبادة، ويتجسد فيه «الصمود الوجودي» الذي يحوّل الفعل التعليمي إلى ممارسة مقاومة لإعادة إنتاج الذات رغم التدمير</w:t>
      </w:r>
      <w:r>
        <w:rPr>
          <w:rFonts w:ascii="Times New Roman" w:hAnsi="Times New Roman" w:eastAsia="Times New Roman" w:cs="Times New Roman"/>
          <w:b/>
          <w:bCs/>
          <w:sz w:val="24"/>
          <w:szCs w:val="24"/>
        </w:rPr>
        <w:t xml:space="preserve"> (Hawari, 2020, p. 12).</w:t>
      </w:r>
    </w:p>
    <w:p w14:paraId="044E413A">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rtl/>
        </w:rPr>
        <w:t>المصدر: إعداد الباحثَيْن بالاستناد إلى توثيق 15 حالة لجامعات وخيام تعليمية في غزة (2023–2025</w:t>
      </w:r>
      <w:r>
        <w:rPr>
          <w:rFonts w:hint="cs" w:ascii="Times New Roman" w:hAnsi="Times New Roman" w:eastAsia="Times New Roman" w:cs="Times New Roman"/>
          <w:i/>
          <w:iCs/>
          <w:sz w:val="24"/>
          <w:szCs w:val="24"/>
          <w:rtl/>
        </w:rPr>
        <w:t>)</w:t>
      </w:r>
    </w:p>
    <w:p w14:paraId="536269CE">
      <w:pPr>
        <w:bidi/>
        <w:spacing w:before="100" w:beforeAutospacing="1" w:after="100" w:afterAutospacing="1" w:line="24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 xml:space="preserve">2. </w:t>
      </w:r>
      <w:r>
        <w:rPr>
          <w:rFonts w:ascii="Times New Roman" w:hAnsi="Times New Roman" w:eastAsia="Times New Roman" w:cs="Times New Roman"/>
          <w:b/>
          <w:bCs/>
          <w:sz w:val="27"/>
          <w:szCs w:val="27"/>
          <w:rtl/>
        </w:rPr>
        <w:t>المقاومة القانونية في القدس</w:t>
      </w:r>
    </w:p>
    <w:p w14:paraId="2C1B0D4A">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rPr>
        <w:t>يبيّن الجدول (10) نتائج الدعاوى القضائية التي رفعتها مدارس مقدسية ضد قرارات الإغلاق الإداري (2018–2024</w:t>
      </w:r>
      <w:r>
        <w:rPr>
          <w:rFonts w:hint="cs" w:ascii="Times New Roman" w:hAnsi="Times New Roman" w:eastAsia="Times New Roman" w:cs="Times New Roman"/>
          <w:b/>
          <w:bCs/>
          <w:sz w:val="24"/>
          <w:szCs w:val="24"/>
          <w:rtl/>
        </w:rPr>
        <w:t>)</w:t>
      </w:r>
    </w:p>
    <w:p w14:paraId="3A14EDAB">
      <w:pPr>
        <w:bidi/>
        <w:spacing w:before="100" w:beforeAutospacing="1" w:after="100" w:afterAutospacing="1" w:line="240" w:lineRule="auto"/>
        <w:outlineLvl w:val="3"/>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rPr>
        <w:t>الجدول (10): نتائج الدعاوى القضائية ضد الإغلاق الإداري لمدارس القدس (2018–2024</w:t>
      </w:r>
      <w:r>
        <w:rPr>
          <w:rFonts w:hint="cs" w:ascii="Times New Roman" w:hAnsi="Times New Roman" w:eastAsia="Times New Roman" w:cs="Times New Roman"/>
          <w:b/>
          <w:bCs/>
          <w:sz w:val="24"/>
          <w:szCs w:val="24"/>
          <w:rtl/>
        </w:rPr>
        <w:t>)</w:t>
      </w:r>
    </w:p>
    <w:tbl>
      <w:tblPr>
        <w:tblStyle w:val="13"/>
        <w:tblW w:w="0" w:type="auto"/>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46"/>
        <w:gridCol w:w="900"/>
        <w:gridCol w:w="1184"/>
        <w:gridCol w:w="1404"/>
        <w:gridCol w:w="1210"/>
        <w:gridCol w:w="861"/>
      </w:tblGrid>
      <w:tr w14:paraId="16B6ADFE">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06B2F195">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نسبة النجاح</w:t>
            </w:r>
          </w:p>
        </w:tc>
        <w:tc>
          <w:tcPr>
            <w:tcW w:w="0" w:type="auto"/>
            <w:tcBorders>
              <w:top w:val="single" w:color="9BBB59" w:themeColor="accent3" w:sz="8" w:space="0"/>
              <w:bottom w:val="single" w:color="9BBB59" w:themeColor="accent3" w:sz="8" w:space="0"/>
              <w:right w:val="nil"/>
              <w:insideH w:val="single" w:sz="8" w:space="0"/>
              <w:insideV w:val="nil"/>
            </w:tcBorders>
          </w:tcPr>
          <w:p w14:paraId="629DEB07">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قيد النظر</w:t>
            </w:r>
          </w:p>
        </w:tc>
        <w:tc>
          <w:tcPr>
            <w:tcW w:w="0" w:type="auto"/>
            <w:tcBorders>
              <w:top w:val="single" w:color="9BBB59" w:themeColor="accent3" w:sz="8" w:space="0"/>
              <w:bottom w:val="single" w:color="9BBB59" w:themeColor="accent3" w:sz="8" w:space="0"/>
              <w:right w:val="nil"/>
              <w:insideH w:val="single" w:sz="8" w:space="0"/>
              <w:insideV w:val="nil"/>
            </w:tcBorders>
          </w:tcPr>
          <w:p w14:paraId="1B702854">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ضد المدرسة</w:t>
            </w:r>
          </w:p>
        </w:tc>
        <w:tc>
          <w:tcPr>
            <w:tcW w:w="0" w:type="auto"/>
            <w:tcBorders>
              <w:top w:val="single" w:color="9BBB59" w:themeColor="accent3" w:sz="8" w:space="0"/>
              <w:bottom w:val="single" w:color="9BBB59" w:themeColor="accent3" w:sz="8" w:space="0"/>
              <w:right w:val="nil"/>
              <w:insideH w:val="single" w:sz="8" w:space="0"/>
              <w:insideV w:val="nil"/>
            </w:tcBorders>
          </w:tcPr>
          <w:p w14:paraId="497470E8">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لصالح المدرسة</w:t>
            </w:r>
          </w:p>
        </w:tc>
        <w:tc>
          <w:tcPr>
            <w:tcW w:w="0" w:type="auto"/>
            <w:tcBorders>
              <w:top w:val="single" w:color="9BBB59" w:themeColor="accent3" w:sz="8" w:space="0"/>
              <w:bottom w:val="single" w:color="9BBB59" w:themeColor="accent3" w:sz="8" w:space="0"/>
              <w:right w:val="nil"/>
              <w:insideH w:val="single" w:sz="8" w:space="0"/>
              <w:insideV w:val="nil"/>
            </w:tcBorders>
          </w:tcPr>
          <w:p w14:paraId="78CEC15F">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عدد الدعاوى</w:t>
            </w:r>
          </w:p>
        </w:tc>
        <w:tc>
          <w:tcPr>
            <w:tcW w:w="0" w:type="auto"/>
            <w:tcBorders>
              <w:top w:val="single" w:color="9BBB59" w:themeColor="accent3" w:sz="8" w:space="0"/>
              <w:bottom w:val="single" w:color="9BBB59" w:themeColor="accent3" w:sz="8" w:space="0"/>
              <w:right w:val="nil"/>
              <w:insideH w:val="single" w:sz="8" w:space="0"/>
              <w:insideV w:val="nil"/>
            </w:tcBorders>
          </w:tcPr>
          <w:p w14:paraId="2F015FEB">
            <w:pPr>
              <w:bidi/>
              <w:spacing w:before="0" w:after="0" w:line="240" w:lineRule="auto"/>
              <w:jc w:val="center"/>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السنة</w:t>
            </w:r>
          </w:p>
        </w:tc>
      </w:tr>
      <w:tr w14:paraId="7A2F7A1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59C8E7E0">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66.7%</w:t>
            </w:r>
          </w:p>
        </w:tc>
        <w:tc>
          <w:tcPr>
            <w:tcW w:w="0" w:type="auto"/>
            <w:tcBorders>
              <w:right w:val="nil"/>
              <w:insideV w:val="nil"/>
            </w:tcBorders>
            <w:shd w:val="clear" w:color="auto" w:fill="E6EED5" w:themeFill="accent3" w:themeFillTint="3F"/>
          </w:tcPr>
          <w:p w14:paraId="7903F250">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0</w:t>
            </w:r>
          </w:p>
        </w:tc>
        <w:tc>
          <w:tcPr>
            <w:tcW w:w="0" w:type="auto"/>
            <w:tcBorders>
              <w:right w:val="nil"/>
              <w:insideV w:val="nil"/>
            </w:tcBorders>
            <w:shd w:val="clear" w:color="auto" w:fill="E6EED5" w:themeFill="accent3" w:themeFillTint="3F"/>
          </w:tcPr>
          <w:p w14:paraId="66999C9C">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1</w:t>
            </w:r>
          </w:p>
        </w:tc>
        <w:tc>
          <w:tcPr>
            <w:tcW w:w="0" w:type="auto"/>
            <w:tcBorders>
              <w:right w:val="nil"/>
              <w:insideV w:val="nil"/>
            </w:tcBorders>
            <w:shd w:val="clear" w:color="auto" w:fill="E6EED5" w:themeFill="accent3" w:themeFillTint="3F"/>
          </w:tcPr>
          <w:p w14:paraId="1460B502">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w:t>
            </w:r>
          </w:p>
        </w:tc>
        <w:tc>
          <w:tcPr>
            <w:tcW w:w="0" w:type="auto"/>
            <w:tcBorders>
              <w:right w:val="nil"/>
              <w:insideV w:val="nil"/>
            </w:tcBorders>
            <w:shd w:val="clear" w:color="auto" w:fill="E6EED5" w:themeFill="accent3" w:themeFillTint="3F"/>
          </w:tcPr>
          <w:p w14:paraId="40D30E78">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3</w:t>
            </w:r>
          </w:p>
        </w:tc>
        <w:tc>
          <w:tcPr>
            <w:tcW w:w="0" w:type="auto"/>
            <w:tcBorders>
              <w:right w:val="nil"/>
              <w:insideV w:val="nil"/>
            </w:tcBorders>
            <w:shd w:val="clear" w:color="auto" w:fill="E6EED5" w:themeFill="accent3" w:themeFillTint="3F"/>
          </w:tcPr>
          <w:p w14:paraId="1E415997">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2018</w:t>
            </w:r>
          </w:p>
        </w:tc>
      </w:tr>
      <w:tr w14:paraId="148BB49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1319645">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60.0%</w:t>
            </w:r>
          </w:p>
        </w:tc>
        <w:tc>
          <w:tcPr>
            <w:tcW w:w="0" w:type="auto"/>
          </w:tcPr>
          <w:p w14:paraId="5EE0A981">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0</w:t>
            </w:r>
          </w:p>
        </w:tc>
        <w:tc>
          <w:tcPr>
            <w:tcW w:w="0" w:type="auto"/>
          </w:tcPr>
          <w:p w14:paraId="0FDB4BB5">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w:t>
            </w:r>
          </w:p>
        </w:tc>
        <w:tc>
          <w:tcPr>
            <w:tcW w:w="0" w:type="auto"/>
          </w:tcPr>
          <w:p w14:paraId="7FEBA42A">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3</w:t>
            </w:r>
          </w:p>
        </w:tc>
        <w:tc>
          <w:tcPr>
            <w:tcW w:w="0" w:type="auto"/>
          </w:tcPr>
          <w:p w14:paraId="2B4E3627">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5</w:t>
            </w:r>
          </w:p>
        </w:tc>
        <w:tc>
          <w:tcPr>
            <w:tcW w:w="0" w:type="auto"/>
          </w:tcPr>
          <w:p w14:paraId="30CD5559">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2019</w:t>
            </w:r>
          </w:p>
        </w:tc>
      </w:tr>
      <w:tr w14:paraId="1DDC22E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1C52677A">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57.1%</w:t>
            </w:r>
          </w:p>
        </w:tc>
        <w:tc>
          <w:tcPr>
            <w:tcW w:w="0" w:type="auto"/>
            <w:tcBorders>
              <w:right w:val="nil"/>
              <w:insideV w:val="nil"/>
            </w:tcBorders>
            <w:shd w:val="clear" w:color="auto" w:fill="E6EED5" w:themeFill="accent3" w:themeFillTint="3F"/>
          </w:tcPr>
          <w:p w14:paraId="2FD621D2">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1</w:t>
            </w:r>
          </w:p>
        </w:tc>
        <w:tc>
          <w:tcPr>
            <w:tcW w:w="0" w:type="auto"/>
            <w:tcBorders>
              <w:right w:val="nil"/>
              <w:insideV w:val="nil"/>
            </w:tcBorders>
            <w:shd w:val="clear" w:color="auto" w:fill="E6EED5" w:themeFill="accent3" w:themeFillTint="3F"/>
          </w:tcPr>
          <w:p w14:paraId="5BF0C1DE">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w:t>
            </w:r>
          </w:p>
        </w:tc>
        <w:tc>
          <w:tcPr>
            <w:tcW w:w="0" w:type="auto"/>
            <w:tcBorders>
              <w:right w:val="nil"/>
              <w:insideV w:val="nil"/>
            </w:tcBorders>
            <w:shd w:val="clear" w:color="auto" w:fill="E6EED5" w:themeFill="accent3" w:themeFillTint="3F"/>
          </w:tcPr>
          <w:p w14:paraId="236D682D">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4</w:t>
            </w:r>
          </w:p>
        </w:tc>
        <w:tc>
          <w:tcPr>
            <w:tcW w:w="0" w:type="auto"/>
            <w:tcBorders>
              <w:right w:val="nil"/>
              <w:insideV w:val="nil"/>
            </w:tcBorders>
            <w:shd w:val="clear" w:color="auto" w:fill="E6EED5" w:themeFill="accent3" w:themeFillTint="3F"/>
          </w:tcPr>
          <w:p w14:paraId="19987DA9">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7</w:t>
            </w:r>
          </w:p>
        </w:tc>
        <w:tc>
          <w:tcPr>
            <w:tcW w:w="0" w:type="auto"/>
            <w:tcBorders>
              <w:right w:val="nil"/>
              <w:insideV w:val="nil"/>
            </w:tcBorders>
            <w:shd w:val="clear" w:color="auto" w:fill="E6EED5" w:themeFill="accent3" w:themeFillTint="3F"/>
          </w:tcPr>
          <w:p w14:paraId="741B1204">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2021</w:t>
            </w:r>
          </w:p>
        </w:tc>
      </w:tr>
      <w:tr w14:paraId="0DB2213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5FBCF4D">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33.3%</w:t>
            </w:r>
          </w:p>
        </w:tc>
        <w:tc>
          <w:tcPr>
            <w:tcW w:w="0" w:type="auto"/>
          </w:tcPr>
          <w:p w14:paraId="563C1044">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1</w:t>
            </w:r>
          </w:p>
        </w:tc>
        <w:tc>
          <w:tcPr>
            <w:tcW w:w="0" w:type="auto"/>
          </w:tcPr>
          <w:p w14:paraId="61457614">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3</w:t>
            </w:r>
          </w:p>
        </w:tc>
        <w:tc>
          <w:tcPr>
            <w:tcW w:w="0" w:type="auto"/>
          </w:tcPr>
          <w:p w14:paraId="5AF8E1FD">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w:t>
            </w:r>
          </w:p>
        </w:tc>
        <w:tc>
          <w:tcPr>
            <w:tcW w:w="0" w:type="auto"/>
          </w:tcPr>
          <w:p w14:paraId="355B0422">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6</w:t>
            </w:r>
          </w:p>
        </w:tc>
        <w:tc>
          <w:tcPr>
            <w:tcW w:w="0" w:type="auto"/>
          </w:tcPr>
          <w:p w14:paraId="26D92DA4">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2023</w:t>
            </w:r>
          </w:p>
        </w:tc>
      </w:tr>
      <w:tr w14:paraId="5606ADC3">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5D1F45E9">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25.0%</w:t>
            </w:r>
          </w:p>
        </w:tc>
        <w:tc>
          <w:tcPr>
            <w:tcW w:w="0" w:type="auto"/>
            <w:tcBorders>
              <w:right w:val="nil"/>
              <w:insideV w:val="nil"/>
            </w:tcBorders>
            <w:shd w:val="clear" w:color="auto" w:fill="E6EED5" w:themeFill="accent3" w:themeFillTint="3F"/>
          </w:tcPr>
          <w:p w14:paraId="37D8A71D">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1</w:t>
            </w:r>
          </w:p>
        </w:tc>
        <w:tc>
          <w:tcPr>
            <w:tcW w:w="0" w:type="auto"/>
            <w:tcBorders>
              <w:right w:val="nil"/>
              <w:insideV w:val="nil"/>
            </w:tcBorders>
            <w:shd w:val="clear" w:color="auto" w:fill="E6EED5" w:themeFill="accent3" w:themeFillTint="3F"/>
          </w:tcPr>
          <w:p w14:paraId="19847924">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w:t>
            </w:r>
          </w:p>
        </w:tc>
        <w:tc>
          <w:tcPr>
            <w:tcW w:w="0" w:type="auto"/>
            <w:tcBorders>
              <w:right w:val="nil"/>
              <w:insideV w:val="nil"/>
            </w:tcBorders>
            <w:shd w:val="clear" w:color="auto" w:fill="E6EED5" w:themeFill="accent3" w:themeFillTint="3F"/>
          </w:tcPr>
          <w:p w14:paraId="1CF80FEE">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1</w:t>
            </w:r>
          </w:p>
        </w:tc>
        <w:tc>
          <w:tcPr>
            <w:tcW w:w="0" w:type="auto"/>
            <w:tcBorders>
              <w:right w:val="nil"/>
              <w:insideV w:val="nil"/>
            </w:tcBorders>
            <w:shd w:val="clear" w:color="auto" w:fill="E6EED5" w:themeFill="accent3" w:themeFillTint="3F"/>
          </w:tcPr>
          <w:p w14:paraId="3A6D5BD6">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4</w:t>
            </w:r>
          </w:p>
        </w:tc>
        <w:tc>
          <w:tcPr>
            <w:tcW w:w="0" w:type="auto"/>
            <w:tcBorders>
              <w:right w:val="nil"/>
              <w:insideV w:val="nil"/>
            </w:tcBorders>
            <w:shd w:val="clear" w:color="auto" w:fill="E6EED5" w:themeFill="accent3" w:themeFillTint="3F"/>
          </w:tcPr>
          <w:p w14:paraId="551B7E00">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color w:val="77933C" w:themeColor="accent3" w:themeShade="BF"/>
                <w:sz w:val="24"/>
                <w:szCs w:val="24"/>
              </w:rPr>
              <w:t>2024</w:t>
            </w:r>
          </w:p>
        </w:tc>
      </w:tr>
      <w:tr w14:paraId="4829FBDE">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48249C4A">
            <w:pPr>
              <w:bidi/>
              <w:spacing w:after="0" w:line="240" w:lineRule="auto"/>
              <w:rPr>
                <w:rFonts w:ascii="Times New Roman" w:hAnsi="Times New Roman" w:eastAsia="Times New Roman" w:cs="Times New Roman"/>
                <w:b/>
                <w:bCs/>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48.0%</w:t>
            </w:r>
          </w:p>
        </w:tc>
        <w:tc>
          <w:tcPr>
            <w:tcW w:w="0" w:type="auto"/>
          </w:tcPr>
          <w:p w14:paraId="4D3576A6">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3</w:t>
            </w:r>
          </w:p>
        </w:tc>
        <w:tc>
          <w:tcPr>
            <w:tcW w:w="0" w:type="auto"/>
          </w:tcPr>
          <w:p w14:paraId="6B8C9DA1">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10</w:t>
            </w:r>
          </w:p>
        </w:tc>
        <w:tc>
          <w:tcPr>
            <w:tcW w:w="0" w:type="auto"/>
          </w:tcPr>
          <w:p w14:paraId="3CB16420">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12</w:t>
            </w:r>
          </w:p>
        </w:tc>
        <w:tc>
          <w:tcPr>
            <w:tcW w:w="0" w:type="auto"/>
          </w:tcPr>
          <w:p w14:paraId="4ECABFC7">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b/>
                <w:bCs/>
                <w:color w:val="77933C" w:themeColor="accent3" w:themeShade="BF"/>
                <w:sz w:val="24"/>
                <w:szCs w:val="24"/>
              </w:rPr>
              <w:t>25</w:t>
            </w:r>
          </w:p>
        </w:tc>
        <w:tc>
          <w:tcPr>
            <w:tcW w:w="0" w:type="auto"/>
          </w:tcPr>
          <w:p w14:paraId="43BDEA13">
            <w:pPr>
              <w:bidi/>
              <w:spacing w:after="0" w:line="240" w:lineRule="auto"/>
              <w:rPr>
                <w:rFonts w:ascii="Times New Roman" w:hAnsi="Times New Roman" w:eastAsia="Times New Roman" w:cs="Times New Roman"/>
                <w:color w:val="77933C" w:themeColor="accent3" w:themeShade="BF"/>
                <w:sz w:val="24"/>
                <w:szCs w:val="24"/>
              </w:rPr>
            </w:pPr>
            <w:r>
              <w:rPr>
                <w:rFonts w:ascii="Times New Roman" w:hAnsi="Times New Roman" w:eastAsia="Times New Roman" w:cs="Times New Roman"/>
                <w:b/>
                <w:bCs/>
                <w:color w:val="77933C" w:themeColor="accent3" w:themeShade="BF"/>
                <w:sz w:val="24"/>
                <w:szCs w:val="24"/>
                <w:rtl/>
              </w:rPr>
              <w:t>الإجمالي</w:t>
            </w:r>
          </w:p>
        </w:tc>
      </w:tr>
    </w:tbl>
    <w:p w14:paraId="3ADCF9AB">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tl/>
        </w:rPr>
        <w:t>يُلاحظ من الجدول (10) أن 25 دعوى قضائية رفعت ضد قرارات الإغلاق الإداري، حققت 12 نجاحاً (48%)، مع اتجاه تنازلي في نسبة النجاح عبر السنوات. ورغم هذا التراجع، فإن استمرار رفع الدعاوى يعكس إدراك المدرسة الفلسطينية لدورها كفاعل سيادي، حيث يصبح اللجوء إلى القضاء دفاعاً عن الحق في الوجود المعرفي، وليس مجرد حماية خدمة تعليمية. هذا السلوك يترجم المؤسسة التعليمية من موضوع للعنف إلى فاعل قانوني ومعرفي يمارس المقاومة عبر أدوات الشرعية الدولية والمحلية</w:t>
      </w:r>
      <w:r>
        <w:rPr>
          <w:rFonts w:ascii="Times New Roman" w:hAnsi="Times New Roman" w:eastAsia="Times New Roman" w:cs="Times New Roman"/>
          <w:b/>
          <w:bCs/>
          <w:sz w:val="24"/>
          <w:szCs w:val="24"/>
        </w:rPr>
        <w:t>.</w:t>
      </w:r>
    </w:p>
    <w:p w14:paraId="2B04AB39">
      <w:pPr>
        <w:bidi/>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rtl/>
        </w:rPr>
        <w:t>المصدر: إعداد الباحثَيْن بالاستناد إلى بيانات</w:t>
      </w:r>
      <w:r>
        <w:rPr>
          <w:rFonts w:ascii="Times New Roman" w:hAnsi="Times New Roman" w:eastAsia="Times New Roman" w:cs="Times New Roman"/>
          <w:i/>
          <w:iCs/>
          <w:sz w:val="24"/>
          <w:szCs w:val="24"/>
        </w:rPr>
        <w:t xml:space="preserve"> ACRI (2019, p. 22), B’Tselem (2022, p. 34)</w:t>
      </w:r>
      <w:r>
        <w:rPr>
          <w:rFonts w:ascii="Times New Roman" w:hAnsi="Times New Roman" w:eastAsia="Times New Roman" w:cs="Times New Roman"/>
          <w:i/>
          <w:iCs/>
          <w:sz w:val="24"/>
          <w:szCs w:val="24"/>
          <w:rtl/>
        </w:rPr>
        <w:t>، ومقابلات مع محامين مقدسيين (2024</w:t>
      </w:r>
      <w:r>
        <w:rPr>
          <w:rFonts w:hint="cs" w:ascii="Times New Roman" w:hAnsi="Times New Roman" w:eastAsia="Times New Roman" w:cs="Times New Roman"/>
          <w:i/>
          <w:iCs/>
          <w:sz w:val="24"/>
          <w:szCs w:val="24"/>
          <w:rtl/>
        </w:rPr>
        <w:t>)</w:t>
      </w:r>
    </w:p>
    <w:p w14:paraId="6C43B6BD">
      <w:pPr>
        <w:bidi/>
        <w:spacing w:before="100" w:beforeAutospacing="1" w:after="100" w:afterAutospacing="1" w:line="240" w:lineRule="auto"/>
        <w:ind w:left="720"/>
        <w:rPr>
          <w:rFonts w:hint="cs" w:ascii="Simplified Arabic" w:hAnsi="Simplified Arabic" w:eastAsia="Times New Roman" w:cs="Simplified Arabic"/>
          <w:sz w:val="24"/>
          <w:szCs w:val="24"/>
          <w:rtl/>
        </w:rPr>
      </w:pPr>
    </w:p>
    <w:p w14:paraId="15BEC477">
      <w:pPr>
        <w:bidi/>
        <w:spacing w:before="100" w:beforeAutospacing="1" w:after="100" w:afterAutospacing="1" w:line="240" w:lineRule="auto"/>
        <w:ind w:left="720"/>
        <w:rPr>
          <w:rFonts w:ascii="Simplified Arabic" w:hAnsi="Simplified Arabic" w:eastAsia="Times New Roman" w:cs="Simplified Arabic"/>
          <w:sz w:val="24"/>
          <w:szCs w:val="24"/>
        </w:rPr>
      </w:pPr>
    </w:p>
    <w:p w14:paraId="1A92F99F">
      <w:pPr>
        <w:bidi/>
        <w:spacing w:before="100" w:beforeAutospacing="1" w:after="100" w:afterAutospacing="1" w:line="240" w:lineRule="auto"/>
        <w:outlineLvl w:val="2"/>
        <w:rPr>
          <w:rFonts w:ascii="Simplified Arabic" w:hAnsi="Simplified Arabic" w:eastAsia="Times New Roman" w:cs="Simplified Arabic"/>
          <w:b/>
          <w:bCs/>
          <w:sz w:val="27"/>
          <w:szCs w:val="27"/>
        </w:rPr>
      </w:pPr>
      <w:r>
        <w:rPr>
          <w:rFonts w:ascii="Simplified Arabic" w:hAnsi="Simplified Arabic" w:eastAsia="Times New Roman" w:cs="Simplified Arabic"/>
          <w:b/>
          <w:bCs/>
          <w:sz w:val="27"/>
          <w:szCs w:val="27"/>
          <w:rtl/>
        </w:rPr>
        <w:t>الجامعة الشاهدة: نموذج جامعة الأزهر</w:t>
      </w:r>
    </w:p>
    <w:p w14:paraId="07F92520">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يوثق الجدول (11) أبرز ممارسات التوثيق التي تبنتها جامعة الأزهر بعد تدميرها</w:t>
      </w:r>
      <w:r>
        <w:rPr>
          <w:rFonts w:ascii="Simplified Arabic" w:hAnsi="Simplified Arabic" w:eastAsia="Times New Roman" w:cs="Simplified Arabic"/>
          <w:b/>
          <w:bCs/>
          <w:sz w:val="24"/>
          <w:szCs w:val="24"/>
        </w:rPr>
        <w:t>.</w:t>
      </w:r>
    </w:p>
    <w:p w14:paraId="2128A16E">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(11): ممارسات التوثيق في جامعة الأزهر – غزة (أكتوبر 2023 – يناير 2024</w:t>
      </w:r>
      <w:r>
        <w:rPr>
          <w:rFonts w:hint="cs" w:ascii="Simplified Arabic" w:hAnsi="Simplified Arabic" w:eastAsia="Times New Roman" w:cs="Simplified Arabic"/>
          <w:b/>
          <w:bCs/>
          <w:sz w:val="24"/>
          <w:szCs w:val="24"/>
          <w:rtl/>
        </w:rPr>
        <w:t>)</w:t>
      </w:r>
    </w:p>
    <w:tbl>
      <w:tblPr>
        <w:tblStyle w:val="13"/>
        <w:tblW w:w="7287" w:type="dxa"/>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57"/>
        <w:gridCol w:w="2323"/>
        <w:gridCol w:w="2207"/>
      </w:tblGrid>
      <w:tr w14:paraId="15A5DF9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6CA44B6A">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الدلالة</w:t>
            </w:r>
          </w:p>
        </w:tc>
        <w:tc>
          <w:tcPr>
            <w:tcW w:w="0" w:type="auto"/>
            <w:tcBorders>
              <w:top w:val="single" w:color="9BBB59" w:themeColor="accent3" w:sz="8" w:space="0"/>
              <w:bottom w:val="single" w:color="9BBB59" w:themeColor="accent3" w:sz="8" w:space="0"/>
              <w:right w:val="nil"/>
              <w:insideH w:val="single" w:sz="8" w:space="0"/>
              <w:insideV w:val="nil"/>
            </w:tcBorders>
          </w:tcPr>
          <w:p w14:paraId="2CBD71D9">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الحجم/التكرار</w:t>
            </w:r>
          </w:p>
        </w:tc>
        <w:tc>
          <w:tcPr>
            <w:tcW w:w="0" w:type="auto"/>
            <w:tcBorders>
              <w:top w:val="single" w:color="9BBB59" w:themeColor="accent3" w:sz="8" w:space="0"/>
              <w:bottom w:val="single" w:color="9BBB59" w:themeColor="accent3" w:sz="8" w:space="0"/>
              <w:right w:val="nil"/>
              <w:insideH w:val="single" w:sz="8" w:space="0"/>
              <w:insideV w:val="nil"/>
            </w:tcBorders>
          </w:tcPr>
          <w:p w14:paraId="471A1512">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نوع الممارسة</w:t>
            </w:r>
          </w:p>
        </w:tc>
      </w:tr>
      <w:tr w14:paraId="63E79DB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1C45EE6F">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حفظ الذاكرة البصرية</w:t>
            </w:r>
          </w:p>
        </w:tc>
        <w:tc>
          <w:tcPr>
            <w:tcW w:w="0" w:type="auto"/>
            <w:tcBorders>
              <w:right w:val="nil"/>
              <w:insideV w:val="nil"/>
            </w:tcBorders>
            <w:shd w:val="clear" w:color="auto" w:fill="E6EED5" w:themeFill="accent3" w:themeFillTint="3F"/>
          </w:tcPr>
          <w:p w14:paraId="0C2F7D32">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أكثر من 5,000 صورة</w:t>
            </w:r>
          </w:p>
        </w:tc>
        <w:tc>
          <w:tcPr>
            <w:tcW w:w="0" w:type="auto"/>
            <w:tcBorders>
              <w:right w:val="nil"/>
              <w:insideV w:val="nil"/>
            </w:tcBorders>
            <w:shd w:val="clear" w:color="auto" w:fill="E6EED5" w:themeFill="accent3" w:themeFillTint="3F"/>
          </w:tcPr>
          <w:p w14:paraId="03F766F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توثيق الدمار</w:t>
            </w:r>
          </w:p>
        </w:tc>
      </w:tr>
      <w:tr w14:paraId="1BFE56A2">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98E0CFF">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إثبات الاستهداف البشري</w:t>
            </w:r>
          </w:p>
        </w:tc>
        <w:tc>
          <w:tcPr>
            <w:tcW w:w="0" w:type="auto"/>
          </w:tcPr>
          <w:p w14:paraId="5DC9FBA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 xml:space="preserve">23 </w:t>
            </w:r>
            <w:r>
              <w:rPr>
                <w:rFonts w:ascii="Simplified Arabic" w:hAnsi="Simplified Arabic" w:eastAsia="Times New Roman" w:cs="Simplified Arabic"/>
                <w:color w:val="77933C" w:themeColor="accent3" w:themeShade="BF"/>
                <w:sz w:val="24"/>
                <w:szCs w:val="24"/>
                <w:rtl/>
              </w:rPr>
              <w:t>اسماً</w:t>
            </w:r>
          </w:p>
        </w:tc>
        <w:tc>
          <w:tcPr>
            <w:tcW w:w="0" w:type="auto"/>
          </w:tcPr>
          <w:p w14:paraId="2ABD283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توثيق الشهداء (أكاديميون</w:t>
            </w:r>
            <w:r>
              <w:rPr>
                <w:rFonts w:hint="cs" w:ascii="Simplified Arabic" w:hAnsi="Simplified Arabic" w:eastAsia="Times New Roman" w:cs="Simplified Arabic"/>
                <w:color w:val="77933C" w:themeColor="accent3" w:themeShade="BF"/>
                <w:sz w:val="24"/>
                <w:szCs w:val="24"/>
                <w:rtl/>
              </w:rPr>
              <w:t>)</w:t>
            </w:r>
          </w:p>
        </w:tc>
      </w:tr>
      <w:tr w14:paraId="76145651">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7B024CEE">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إثبات حجم الخسارة المعرفية</w:t>
            </w:r>
          </w:p>
        </w:tc>
        <w:tc>
          <w:tcPr>
            <w:tcW w:w="0" w:type="auto"/>
            <w:tcBorders>
              <w:right w:val="nil"/>
              <w:insideV w:val="nil"/>
            </w:tcBorders>
            <w:shd w:val="clear" w:color="auto" w:fill="E6EED5" w:themeFill="accent3" w:themeFillTint="3F"/>
          </w:tcPr>
          <w:p w14:paraId="6BB536D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 xml:space="preserve">312 </w:t>
            </w:r>
            <w:r>
              <w:rPr>
                <w:rFonts w:ascii="Simplified Arabic" w:hAnsi="Simplified Arabic" w:eastAsia="Times New Roman" w:cs="Simplified Arabic"/>
                <w:color w:val="77933C" w:themeColor="accent3" w:themeShade="BF"/>
                <w:sz w:val="24"/>
                <w:szCs w:val="24"/>
                <w:rtl/>
              </w:rPr>
              <w:t>اسماً</w:t>
            </w:r>
          </w:p>
        </w:tc>
        <w:tc>
          <w:tcPr>
            <w:tcW w:w="0" w:type="auto"/>
            <w:tcBorders>
              <w:right w:val="nil"/>
              <w:insideV w:val="nil"/>
            </w:tcBorders>
            <w:shd w:val="clear" w:color="auto" w:fill="E6EED5" w:themeFill="accent3" w:themeFillTint="3F"/>
          </w:tcPr>
          <w:p w14:paraId="23D86F0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توثيق الشهداء (طلبة</w:t>
            </w:r>
            <w:r>
              <w:rPr>
                <w:rFonts w:hint="cs" w:ascii="Simplified Arabic" w:hAnsi="Simplified Arabic" w:eastAsia="Times New Roman" w:cs="Simplified Arabic"/>
                <w:color w:val="77933C" w:themeColor="accent3" w:themeShade="BF"/>
                <w:sz w:val="24"/>
                <w:szCs w:val="24"/>
                <w:rtl/>
              </w:rPr>
              <w:t>)</w:t>
            </w:r>
          </w:p>
        </w:tc>
      </w:tr>
      <w:tr w14:paraId="6C20A964">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741EEF0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حماية الإنتاج المعرفي من المحو</w:t>
            </w:r>
          </w:p>
        </w:tc>
        <w:tc>
          <w:tcPr>
            <w:tcW w:w="0" w:type="auto"/>
          </w:tcPr>
          <w:p w14:paraId="700313F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أكثر من 1,200 رسالة</w:t>
            </w:r>
          </w:p>
        </w:tc>
        <w:tc>
          <w:tcPr>
            <w:tcW w:w="0" w:type="auto"/>
          </w:tcPr>
          <w:p w14:paraId="6060723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حفظ الرسائل العلمية</w:t>
            </w:r>
          </w:p>
        </w:tc>
      </w:tr>
      <w:tr w14:paraId="24B67381">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73FF86CC">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إصرار على البقاء مرئياً</w:t>
            </w:r>
          </w:p>
        </w:tc>
        <w:tc>
          <w:tcPr>
            <w:tcW w:w="0" w:type="auto"/>
            <w:tcBorders>
              <w:right w:val="nil"/>
              <w:insideV w:val="nil"/>
            </w:tcBorders>
            <w:shd w:val="clear" w:color="auto" w:fill="E6EED5" w:themeFill="accent3" w:themeFillTint="3F"/>
          </w:tcPr>
          <w:p w14:paraId="2B27C12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 xml:space="preserve">156 </w:t>
            </w:r>
            <w:r>
              <w:rPr>
                <w:rFonts w:ascii="Simplified Arabic" w:hAnsi="Simplified Arabic" w:eastAsia="Times New Roman" w:cs="Simplified Arabic"/>
                <w:color w:val="77933C" w:themeColor="accent3" w:themeShade="BF"/>
                <w:sz w:val="24"/>
                <w:szCs w:val="24"/>
                <w:rtl/>
              </w:rPr>
              <w:t>يوماً متواصلاً</w:t>
            </w:r>
          </w:p>
        </w:tc>
        <w:tc>
          <w:tcPr>
            <w:tcW w:w="0" w:type="auto"/>
            <w:tcBorders>
              <w:right w:val="nil"/>
              <w:insideV w:val="nil"/>
            </w:tcBorders>
            <w:shd w:val="clear" w:color="auto" w:fill="E6EED5" w:themeFill="accent3" w:themeFillTint="3F"/>
          </w:tcPr>
          <w:p w14:paraId="3FB9053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نشر يومي</w:t>
            </w:r>
          </w:p>
        </w:tc>
      </w:tr>
      <w:tr w14:paraId="73669D6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9D2D113">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إنتاج الشهادة للعالم</w:t>
            </w:r>
          </w:p>
        </w:tc>
        <w:tc>
          <w:tcPr>
            <w:tcW w:w="0" w:type="auto"/>
          </w:tcPr>
          <w:p w14:paraId="22C7487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 xml:space="preserve">18 </w:t>
            </w:r>
            <w:r>
              <w:rPr>
                <w:rFonts w:ascii="Simplified Arabic" w:hAnsi="Simplified Arabic" w:eastAsia="Times New Roman" w:cs="Simplified Arabic"/>
                <w:color w:val="77933C" w:themeColor="accent3" w:themeShade="BF"/>
                <w:sz w:val="24"/>
                <w:szCs w:val="24"/>
                <w:rtl/>
              </w:rPr>
              <w:t>بياناً بالعربية والإنجليزية</w:t>
            </w:r>
          </w:p>
        </w:tc>
        <w:tc>
          <w:tcPr>
            <w:tcW w:w="0" w:type="auto"/>
          </w:tcPr>
          <w:p w14:paraId="3814968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إصدار بيانات</w:t>
            </w:r>
          </w:p>
        </w:tc>
      </w:tr>
    </w:tbl>
    <w:p w14:paraId="0C73B7CD">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يبين الجدول (11) أن الجامعة تحولت من ضحية إلى «جامعة شاهدة» تؤدي ثلاثة أدوار مركزية: حفظ الذاكرة (التوثيق)، إنتاج الشهادة (البيانات)، والمقاومة المعرفية (استمرار التعليم والنشر). هذا التحول يعكس أن المؤسسة التعليمية الفلسطينية لا تكتفي بالبقاء، بل تعيد تعريف نفسها كفاعل معرفي مقاوم، يواجه الإبادة عبر إنتاج الشهادة وتثبيت الذاكرة الجمعية</w:t>
      </w:r>
      <w:r>
        <w:rPr>
          <w:rFonts w:ascii="Simplified Arabic" w:hAnsi="Simplified Arabic" w:eastAsia="Times New Roman" w:cs="Simplified Arabic"/>
          <w:b/>
          <w:bCs/>
          <w:sz w:val="24"/>
          <w:szCs w:val="24"/>
        </w:rPr>
        <w:t>.</w:t>
      </w:r>
    </w:p>
    <w:p w14:paraId="748AE2FA">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التوثيق الرقمي والصفحات الرسمية لجامعة الأزهر (2023–2024)، ومقابلة مع د. أحمد حمودة</w:t>
      </w:r>
      <w:r>
        <w:rPr>
          <w:rFonts w:ascii="Simplified Arabic" w:hAnsi="Simplified Arabic" w:eastAsia="Times New Roman" w:cs="Simplified Arabic"/>
          <w:i/>
          <w:iCs/>
          <w:sz w:val="24"/>
          <w:szCs w:val="24"/>
        </w:rPr>
        <w:t>.</w:t>
      </w:r>
    </w:p>
    <w:p w14:paraId="37C2DDDA">
      <w:pPr>
        <w:bidi/>
        <w:spacing w:after="0"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Pr>
        <w:pict>
          <v:rect id="_x0000_i1026" o:spt="1" style="height:1.5pt;width:0pt;" fillcolor="#A0A0A0" filled="t" stroked="f" coordsize="21600,21600" o:hr="t" o:hrstd="t" o:hralign="center">
            <v:path/>
            <v:fill on="t" focussize="0,0"/>
            <v:stroke on="f"/>
            <v:imagedata o:title=""/>
            <o:lock v:ext="edit"/>
            <w10:wrap type="none"/>
            <w10:anchorlock/>
          </v:rect>
        </w:pict>
      </w:r>
    </w:p>
    <w:p w14:paraId="2823F042">
      <w:pPr>
        <w:bidi/>
        <w:spacing w:before="100" w:beforeAutospacing="1" w:after="100" w:afterAutospacing="1" w:line="240" w:lineRule="auto"/>
        <w:outlineLvl w:val="1"/>
        <w:rPr>
          <w:rFonts w:ascii="Simplified Arabic" w:hAnsi="Simplified Arabic" w:eastAsia="Times New Roman" w:cs="Simplified Arabic"/>
          <w:b/>
          <w:bCs/>
          <w:sz w:val="36"/>
          <w:szCs w:val="36"/>
        </w:rPr>
      </w:pPr>
      <w:r>
        <w:rPr>
          <w:rFonts w:ascii="Simplified Arabic" w:hAnsi="Simplified Arabic" w:eastAsia="Times New Roman" w:cs="Simplified Arabic"/>
          <w:b/>
          <w:bCs/>
          <w:sz w:val="36"/>
          <w:szCs w:val="36"/>
          <w:rtl/>
        </w:rPr>
        <w:t>خامساً: العلاقة بين إبادة التعليم والتهجير</w:t>
      </w:r>
    </w:p>
    <w:p w14:paraId="760D70F6">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للإجابة عن الشق الثالث من أسئلة الدراسة، يوضح الجدولان (12) و(13) العلاقة بين تآكل الأمن الوجودي والتفكير في التهجير، ودور التعليم في هذا القرار</w:t>
      </w:r>
      <w:r>
        <w:rPr>
          <w:rFonts w:ascii="Simplified Arabic" w:hAnsi="Simplified Arabic" w:eastAsia="Times New Roman" w:cs="Simplified Arabic"/>
          <w:b/>
          <w:bCs/>
          <w:sz w:val="24"/>
          <w:szCs w:val="24"/>
        </w:rPr>
        <w:t>.</w:t>
      </w:r>
    </w:p>
    <w:p w14:paraId="4E1F4B01">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(12): العلاقة بين تآكل الأمن الوجودي والتفكير في التهجير – غزة</w:t>
      </w:r>
      <w:r>
        <w:rPr>
          <w:rFonts w:ascii="Simplified Arabic" w:hAnsi="Simplified Arabic" w:eastAsia="Times New Roman" w:cs="Simplified Arabic"/>
          <w:b/>
          <w:bCs/>
          <w:sz w:val="24"/>
          <w:szCs w:val="24"/>
        </w:rPr>
        <w:t xml:space="preserve"> (n = 45)</w:t>
      </w:r>
    </w:p>
    <w:tbl>
      <w:tblPr>
        <w:tblStyle w:val="13"/>
        <w:tblW w:w="0" w:type="auto"/>
        <w:tblInd w:w="0"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5"/>
        <w:gridCol w:w="1407"/>
        <w:gridCol w:w="769"/>
        <w:gridCol w:w="861"/>
        <w:gridCol w:w="1953"/>
      </w:tblGrid>
      <w:tr w14:paraId="65390CC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12C1EE16">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نسبة المفكرين</w:t>
            </w:r>
          </w:p>
        </w:tc>
        <w:tc>
          <w:tcPr>
            <w:tcW w:w="0" w:type="auto"/>
            <w:tcBorders>
              <w:top w:val="single" w:color="9BBB59" w:themeColor="accent3" w:sz="8" w:space="0"/>
              <w:bottom w:val="single" w:color="9BBB59" w:themeColor="accent3" w:sz="8" w:space="0"/>
              <w:right w:val="nil"/>
              <w:insideH w:val="single" w:sz="8" w:space="0"/>
              <w:insideV w:val="nil"/>
            </w:tcBorders>
          </w:tcPr>
          <w:p w14:paraId="6507D6FE">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فكّر في المغادرة</w:t>
            </w:r>
          </w:p>
        </w:tc>
        <w:tc>
          <w:tcPr>
            <w:tcW w:w="0" w:type="auto"/>
            <w:tcBorders>
              <w:top w:val="single" w:color="9BBB59" w:themeColor="accent3" w:sz="8" w:space="0"/>
              <w:bottom w:val="single" w:color="9BBB59" w:themeColor="accent3" w:sz="8" w:space="0"/>
              <w:right w:val="nil"/>
              <w:insideH w:val="single" w:sz="8" w:space="0"/>
              <w:insideV w:val="nil"/>
            </w:tcBorders>
          </w:tcPr>
          <w:p w14:paraId="1630FC3B">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لم يفكر</w:t>
            </w:r>
          </w:p>
        </w:tc>
        <w:tc>
          <w:tcPr>
            <w:tcW w:w="0" w:type="auto"/>
            <w:tcBorders>
              <w:top w:val="single" w:color="9BBB59" w:themeColor="accent3" w:sz="8" w:space="0"/>
              <w:bottom w:val="single" w:color="9BBB59" w:themeColor="accent3" w:sz="8" w:space="0"/>
              <w:right w:val="nil"/>
              <w:insideH w:val="single" w:sz="8" w:space="0"/>
              <w:insideV w:val="nil"/>
            </w:tcBorders>
          </w:tcPr>
          <w:p w14:paraId="25DF14F1">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الإجمالي</w:t>
            </w:r>
          </w:p>
        </w:tc>
        <w:tc>
          <w:tcPr>
            <w:tcW w:w="0" w:type="auto"/>
            <w:tcBorders>
              <w:top w:val="single" w:color="9BBB59" w:themeColor="accent3" w:sz="8" w:space="0"/>
              <w:bottom w:val="single" w:color="9BBB59" w:themeColor="accent3" w:sz="8" w:space="0"/>
              <w:right w:val="nil"/>
              <w:insideH w:val="single" w:sz="8" w:space="0"/>
              <w:insideV w:val="nil"/>
            </w:tcBorders>
          </w:tcPr>
          <w:p w14:paraId="3207DBA0">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مستوى الأمن الوجودي</w:t>
            </w:r>
          </w:p>
        </w:tc>
      </w:tr>
      <w:tr w14:paraId="7CDB2A88">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03F0044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w:t>
            </w:r>
          </w:p>
        </w:tc>
        <w:tc>
          <w:tcPr>
            <w:tcW w:w="0" w:type="auto"/>
            <w:tcBorders>
              <w:right w:val="nil"/>
              <w:insideV w:val="nil"/>
            </w:tcBorders>
            <w:shd w:val="clear" w:color="auto" w:fill="E6EED5" w:themeFill="accent3" w:themeFillTint="3F"/>
          </w:tcPr>
          <w:p w14:paraId="07343DC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w:t>
            </w:r>
          </w:p>
        </w:tc>
        <w:tc>
          <w:tcPr>
            <w:tcW w:w="0" w:type="auto"/>
            <w:tcBorders>
              <w:right w:val="nil"/>
              <w:insideV w:val="nil"/>
            </w:tcBorders>
            <w:shd w:val="clear" w:color="auto" w:fill="E6EED5" w:themeFill="accent3" w:themeFillTint="3F"/>
          </w:tcPr>
          <w:p w14:paraId="3BF4D57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w:t>
            </w:r>
          </w:p>
        </w:tc>
        <w:tc>
          <w:tcPr>
            <w:tcW w:w="0" w:type="auto"/>
            <w:tcBorders>
              <w:right w:val="nil"/>
              <w:insideV w:val="nil"/>
            </w:tcBorders>
            <w:shd w:val="clear" w:color="auto" w:fill="E6EED5" w:themeFill="accent3" w:themeFillTint="3F"/>
          </w:tcPr>
          <w:p w14:paraId="4E4B8D9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0</w:t>
            </w:r>
          </w:p>
        </w:tc>
        <w:tc>
          <w:tcPr>
            <w:tcW w:w="0" w:type="auto"/>
            <w:tcBorders>
              <w:right w:val="nil"/>
              <w:insideV w:val="nil"/>
            </w:tcBorders>
            <w:shd w:val="clear" w:color="auto" w:fill="E6EED5" w:themeFill="accent3" w:themeFillTint="3F"/>
          </w:tcPr>
          <w:p w14:paraId="6DCF4C2B">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منخفض</w:t>
            </w:r>
          </w:p>
        </w:tc>
      </w:tr>
      <w:tr w14:paraId="77D099B9">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7A16BB5C">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25.0%</w:t>
            </w:r>
          </w:p>
        </w:tc>
        <w:tc>
          <w:tcPr>
            <w:tcW w:w="0" w:type="auto"/>
          </w:tcPr>
          <w:p w14:paraId="7A6DB74C">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w:t>
            </w:r>
          </w:p>
        </w:tc>
        <w:tc>
          <w:tcPr>
            <w:tcW w:w="0" w:type="auto"/>
          </w:tcPr>
          <w:p w14:paraId="5D11EDA4">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6</w:t>
            </w:r>
          </w:p>
        </w:tc>
        <w:tc>
          <w:tcPr>
            <w:tcW w:w="0" w:type="auto"/>
          </w:tcPr>
          <w:p w14:paraId="6435C2A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8</w:t>
            </w:r>
          </w:p>
        </w:tc>
        <w:tc>
          <w:tcPr>
            <w:tcW w:w="0" w:type="auto"/>
          </w:tcPr>
          <w:p w14:paraId="2683B7D0">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متوسط</w:t>
            </w:r>
          </w:p>
        </w:tc>
      </w:tr>
      <w:tr w14:paraId="5CA13E08">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0F9E9BE0">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val="0"/>
                <w:bCs w:val="0"/>
                <w:color w:val="77933C" w:themeColor="accent3" w:themeShade="BF"/>
                <w:sz w:val="24"/>
                <w:szCs w:val="24"/>
              </w:rPr>
              <w:t>59.5%</w:t>
            </w:r>
          </w:p>
        </w:tc>
        <w:tc>
          <w:tcPr>
            <w:tcW w:w="0" w:type="auto"/>
            <w:tcBorders>
              <w:right w:val="nil"/>
              <w:insideV w:val="nil"/>
            </w:tcBorders>
            <w:shd w:val="clear" w:color="auto" w:fill="E6EED5" w:themeFill="accent3" w:themeFillTint="3F"/>
          </w:tcPr>
          <w:p w14:paraId="56E4226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22</w:t>
            </w:r>
          </w:p>
        </w:tc>
        <w:tc>
          <w:tcPr>
            <w:tcW w:w="0" w:type="auto"/>
            <w:tcBorders>
              <w:right w:val="nil"/>
              <w:insideV w:val="nil"/>
            </w:tcBorders>
            <w:shd w:val="clear" w:color="auto" w:fill="E6EED5" w:themeFill="accent3" w:themeFillTint="3F"/>
          </w:tcPr>
          <w:p w14:paraId="1586BF48">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15</w:t>
            </w:r>
          </w:p>
        </w:tc>
        <w:tc>
          <w:tcPr>
            <w:tcW w:w="0" w:type="auto"/>
            <w:tcBorders>
              <w:right w:val="nil"/>
              <w:insideV w:val="nil"/>
            </w:tcBorders>
            <w:shd w:val="clear" w:color="auto" w:fill="E6EED5" w:themeFill="accent3" w:themeFillTint="3F"/>
          </w:tcPr>
          <w:p w14:paraId="3E12487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37</w:t>
            </w:r>
          </w:p>
        </w:tc>
        <w:tc>
          <w:tcPr>
            <w:tcW w:w="0" w:type="auto"/>
            <w:tcBorders>
              <w:right w:val="nil"/>
              <w:insideV w:val="nil"/>
            </w:tcBorders>
            <w:shd w:val="clear" w:color="auto" w:fill="E6EED5" w:themeFill="accent3" w:themeFillTint="3F"/>
          </w:tcPr>
          <w:p w14:paraId="0401F4D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مرتفع</w:t>
            </w:r>
          </w:p>
        </w:tc>
      </w:tr>
      <w:tr w14:paraId="398CDADD">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024D27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val="0"/>
                <w:bCs w:val="0"/>
                <w:color w:val="77933C" w:themeColor="accent3" w:themeShade="BF"/>
                <w:sz w:val="24"/>
                <w:szCs w:val="24"/>
              </w:rPr>
              <w:t>53.3%</w:t>
            </w:r>
          </w:p>
        </w:tc>
        <w:tc>
          <w:tcPr>
            <w:tcW w:w="0" w:type="auto"/>
          </w:tcPr>
          <w:p w14:paraId="1793BCCA">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24</w:t>
            </w:r>
          </w:p>
        </w:tc>
        <w:tc>
          <w:tcPr>
            <w:tcW w:w="0" w:type="auto"/>
          </w:tcPr>
          <w:p w14:paraId="37F4580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21</w:t>
            </w:r>
          </w:p>
        </w:tc>
        <w:tc>
          <w:tcPr>
            <w:tcW w:w="0" w:type="auto"/>
          </w:tcPr>
          <w:p w14:paraId="5703C9C5">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45</w:t>
            </w:r>
          </w:p>
        </w:tc>
        <w:tc>
          <w:tcPr>
            <w:tcW w:w="0" w:type="auto"/>
          </w:tcPr>
          <w:p w14:paraId="54A1CEF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الإجمالي</w:t>
            </w:r>
          </w:p>
        </w:tc>
      </w:tr>
    </w:tbl>
    <w:p w14:paraId="53502805">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يبين الجدول (12) أن 59.5% من ذوي التآكل المرتفع في الأمن الوجودي فكّروا في المغادرة، مقابل 25% فقط من ذوي التآكل المتوسط. هذا يوضح علاقة إيجابية بين تآكل الأمن الوجودي والتفكير بالتهجير، حيث يصبح فقدان الاستقرار والهوية دافعاً مباشراً للبحث عن بدائل خارجية</w:t>
      </w:r>
      <w:r>
        <w:rPr>
          <w:rFonts w:ascii="Simplified Arabic" w:hAnsi="Simplified Arabic" w:eastAsia="Times New Roman" w:cs="Simplified Arabic"/>
          <w:b/>
          <w:bCs/>
          <w:sz w:val="24"/>
          <w:szCs w:val="24"/>
        </w:rPr>
        <w:t>.</w:t>
      </w:r>
    </w:p>
    <w:p w14:paraId="272E18CA">
      <w:pPr>
        <w:bidi/>
        <w:spacing w:after="0"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Pr>
        <w:pict>
          <v:rect id="_x0000_i1027" o:spt="1" style="height:1.5pt;width:0pt;" fillcolor="#A0A0A0" filled="t" stroked="f" coordsize="21600,21600" o:hr="t" o:hrstd="t" o:hralign="center">
            <v:path/>
            <v:fill on="t" focussize="0,0"/>
            <v:stroke on="f"/>
            <v:imagedata o:title=""/>
            <o:lock v:ext="edit"/>
            <w10:wrap type="none"/>
            <w10:anchorlock/>
          </v:rect>
        </w:pict>
      </w:r>
    </w:p>
    <w:p w14:paraId="0AEA517D">
      <w:pPr>
        <w:bidi/>
        <w:spacing w:before="100" w:beforeAutospacing="1" w:after="100" w:afterAutospacing="1" w:line="240" w:lineRule="auto"/>
        <w:outlineLvl w:val="3"/>
        <w:rPr>
          <w:rFonts w:ascii="Simplified Arabic" w:hAnsi="Simplified Arabic" w:eastAsia="Times New Roman" w:cs="Simplified Arabic"/>
          <w:b/>
          <w:bCs/>
          <w:sz w:val="24"/>
          <w:szCs w:val="24"/>
        </w:rPr>
      </w:pPr>
      <w:r>
        <w:rPr>
          <w:rFonts w:ascii="Simplified Arabic" w:hAnsi="Simplified Arabic" w:eastAsia="Times New Roman" w:cs="Simplified Arabic"/>
          <w:b/>
          <w:bCs/>
          <w:sz w:val="24"/>
          <w:szCs w:val="24"/>
          <w:rtl/>
        </w:rPr>
        <w:t>الجدول (13): دور التعليم في قرار التفكير بالتهجير</w:t>
      </w:r>
      <w:r>
        <w:rPr>
          <w:rFonts w:ascii="Simplified Arabic" w:hAnsi="Simplified Arabic" w:eastAsia="Times New Roman" w:cs="Simplified Arabic"/>
          <w:b/>
          <w:bCs/>
          <w:sz w:val="24"/>
          <w:szCs w:val="24"/>
        </w:rPr>
        <w:t xml:space="preserve"> (n = 24 </w:t>
      </w:r>
      <w:r>
        <w:rPr>
          <w:rFonts w:ascii="Simplified Arabic" w:hAnsi="Simplified Arabic" w:eastAsia="Times New Roman" w:cs="Simplified Arabic"/>
          <w:b/>
          <w:bCs/>
          <w:sz w:val="24"/>
          <w:szCs w:val="24"/>
          <w:rtl/>
        </w:rPr>
        <w:t>ممن فكّروا بالمغادرة</w:t>
      </w:r>
      <w:r>
        <w:rPr>
          <w:rFonts w:hint="cs" w:ascii="Simplified Arabic" w:hAnsi="Simplified Arabic" w:eastAsia="Times New Roman" w:cs="Simplified Arabic"/>
          <w:b/>
          <w:bCs/>
          <w:sz w:val="24"/>
          <w:szCs w:val="24"/>
          <w:rtl/>
        </w:rPr>
        <w:t>)</w:t>
      </w:r>
    </w:p>
    <w:tbl>
      <w:tblPr>
        <w:tblStyle w:val="13"/>
        <w:tblW w:w="0" w:type="auto"/>
        <w:tblInd w:w="5807" w:type="dxa"/>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
        <w:gridCol w:w="864"/>
        <w:gridCol w:w="1808"/>
      </w:tblGrid>
      <w:tr w14:paraId="7CDD4076">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9BBB59" w:themeColor="accent3" w:sz="8" w:space="0"/>
              <w:left w:val="nil"/>
              <w:bottom w:val="single" w:color="9BBB59" w:themeColor="accent3" w:sz="8" w:space="0"/>
              <w:right w:val="nil"/>
              <w:insideH w:val="single" w:sz="8" w:space="0"/>
              <w:insideV w:val="nil"/>
            </w:tcBorders>
          </w:tcPr>
          <w:p w14:paraId="6141FEF4">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النسبة</w:t>
            </w:r>
          </w:p>
        </w:tc>
        <w:tc>
          <w:tcPr>
            <w:tcW w:w="0" w:type="auto"/>
            <w:tcBorders>
              <w:top w:val="single" w:color="9BBB59" w:themeColor="accent3" w:sz="8" w:space="0"/>
              <w:bottom w:val="single" w:color="9BBB59" w:themeColor="accent3" w:sz="8" w:space="0"/>
              <w:right w:val="nil"/>
              <w:insideH w:val="single" w:sz="8" w:space="0"/>
              <w:insideV w:val="nil"/>
            </w:tcBorders>
          </w:tcPr>
          <w:p w14:paraId="094773BC">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النسبة</w:t>
            </w:r>
          </w:p>
        </w:tc>
        <w:tc>
          <w:tcPr>
            <w:tcW w:w="0" w:type="auto"/>
            <w:tcBorders>
              <w:top w:val="single" w:color="9BBB59" w:themeColor="accent3" w:sz="8" w:space="0"/>
              <w:bottom w:val="single" w:color="9BBB59" w:themeColor="accent3" w:sz="8" w:space="0"/>
              <w:right w:val="nil"/>
              <w:insideH w:val="single" w:sz="8" w:space="0"/>
              <w:insideV w:val="nil"/>
            </w:tcBorders>
          </w:tcPr>
          <w:p w14:paraId="4CAD0564">
            <w:pPr>
              <w:bidi/>
              <w:spacing w:before="0" w:after="0" w:line="240" w:lineRule="auto"/>
              <w:jc w:val="center"/>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tl/>
              </w:rPr>
              <w:t>دور التعليم في القرار</w:t>
            </w:r>
          </w:p>
        </w:tc>
      </w:tr>
      <w:tr w14:paraId="5443F3C3">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40B1925">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45.8%</w:t>
            </w:r>
          </w:p>
        </w:tc>
        <w:tc>
          <w:tcPr>
            <w:tcW w:w="0" w:type="auto"/>
            <w:tcBorders>
              <w:right w:val="nil"/>
              <w:insideV w:val="nil"/>
            </w:tcBorders>
            <w:shd w:val="clear" w:color="auto" w:fill="E6EED5" w:themeFill="accent3" w:themeFillTint="3F"/>
          </w:tcPr>
          <w:p w14:paraId="15A4E8A7">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45.8%</w:t>
            </w:r>
          </w:p>
        </w:tc>
        <w:tc>
          <w:tcPr>
            <w:tcW w:w="0" w:type="auto"/>
            <w:tcBorders>
              <w:right w:val="nil"/>
              <w:insideV w:val="nil"/>
            </w:tcBorders>
            <w:shd w:val="clear" w:color="auto" w:fill="E6EED5" w:themeFill="accent3" w:themeFillTint="3F"/>
          </w:tcPr>
          <w:p w14:paraId="15112EF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السبب الأساسي</w:t>
            </w:r>
          </w:p>
        </w:tc>
      </w:tr>
      <w:tr w14:paraId="12AF7BD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3D71575B">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37.5%</w:t>
            </w:r>
          </w:p>
        </w:tc>
        <w:tc>
          <w:tcPr>
            <w:tcW w:w="0" w:type="auto"/>
          </w:tcPr>
          <w:p w14:paraId="7D33B2E3">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37.5%</w:t>
            </w:r>
          </w:p>
        </w:tc>
        <w:tc>
          <w:tcPr>
            <w:tcW w:w="0" w:type="auto"/>
          </w:tcPr>
          <w:p w14:paraId="3037D776">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أحد الأسباب</w:t>
            </w:r>
          </w:p>
        </w:tc>
      </w:tr>
      <w:tr w14:paraId="59EB752F">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left w:val="nil"/>
              <w:right w:val="nil"/>
              <w:insideV w:val="nil"/>
            </w:tcBorders>
            <w:shd w:val="clear" w:color="auto" w:fill="E6EED5" w:themeFill="accent3" w:themeFillTint="3F"/>
          </w:tcPr>
          <w:p w14:paraId="487DAE1D">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16.7%</w:t>
            </w:r>
          </w:p>
        </w:tc>
        <w:tc>
          <w:tcPr>
            <w:tcW w:w="0" w:type="auto"/>
            <w:tcBorders>
              <w:right w:val="nil"/>
              <w:insideV w:val="nil"/>
            </w:tcBorders>
            <w:shd w:val="clear" w:color="auto" w:fill="E6EED5" w:themeFill="accent3" w:themeFillTint="3F"/>
          </w:tcPr>
          <w:p w14:paraId="6C86F391">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Pr>
              <w:t>16.7%</w:t>
            </w:r>
          </w:p>
        </w:tc>
        <w:tc>
          <w:tcPr>
            <w:tcW w:w="0" w:type="auto"/>
            <w:tcBorders>
              <w:right w:val="nil"/>
              <w:insideV w:val="nil"/>
            </w:tcBorders>
            <w:shd w:val="clear" w:color="auto" w:fill="E6EED5" w:themeFill="accent3" w:themeFillTint="3F"/>
          </w:tcPr>
          <w:p w14:paraId="4AE4973E">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لا، أسباب أخرى</w:t>
            </w:r>
          </w:p>
        </w:tc>
      </w:tr>
      <w:tr w14:paraId="52B79E15">
        <w:tblPrEx>
          <w:tblBorders>
            <w:top w:val="single" w:color="9BBB59" w:themeColor="accent3" w:sz="8" w:space="0"/>
            <w:left w:val="none" w:color="auto" w:sz="0" w:space="0"/>
            <w:bottom w:val="single" w:color="9BBB59"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32D75B82">
            <w:pPr>
              <w:bidi/>
              <w:spacing w:after="0" w:line="240" w:lineRule="auto"/>
              <w:rPr>
                <w:rFonts w:ascii="Simplified Arabic" w:hAnsi="Simplified Arabic" w:eastAsia="Times New Roman" w:cs="Simplified Arabic"/>
                <w:b/>
                <w:bCs/>
                <w:color w:val="77933C" w:themeColor="accent3" w:themeShade="BF"/>
                <w:sz w:val="24"/>
                <w:szCs w:val="24"/>
              </w:rPr>
            </w:pPr>
            <w:r>
              <w:rPr>
                <w:rFonts w:ascii="Simplified Arabic" w:hAnsi="Simplified Arabic" w:eastAsia="Times New Roman" w:cs="Simplified Arabic"/>
                <w:b w:val="0"/>
                <w:bCs w:val="0"/>
                <w:color w:val="77933C" w:themeColor="accent3" w:themeShade="BF"/>
                <w:sz w:val="24"/>
                <w:szCs w:val="24"/>
              </w:rPr>
              <w:t>100%</w:t>
            </w:r>
          </w:p>
        </w:tc>
        <w:tc>
          <w:tcPr>
            <w:tcW w:w="0" w:type="auto"/>
          </w:tcPr>
          <w:p w14:paraId="4DB845FD">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b/>
                <w:bCs/>
                <w:color w:val="77933C" w:themeColor="accent3" w:themeShade="BF"/>
                <w:sz w:val="24"/>
                <w:szCs w:val="24"/>
              </w:rPr>
              <w:t>100%</w:t>
            </w:r>
          </w:p>
        </w:tc>
        <w:tc>
          <w:tcPr>
            <w:tcW w:w="0" w:type="auto"/>
          </w:tcPr>
          <w:p w14:paraId="304E3CC9">
            <w:pPr>
              <w:bidi/>
              <w:spacing w:after="0" w:line="240" w:lineRule="auto"/>
              <w:rPr>
                <w:rFonts w:ascii="Simplified Arabic" w:hAnsi="Simplified Arabic" w:eastAsia="Times New Roman" w:cs="Simplified Arabic"/>
                <w:color w:val="77933C" w:themeColor="accent3" w:themeShade="BF"/>
                <w:sz w:val="24"/>
                <w:szCs w:val="24"/>
              </w:rPr>
            </w:pPr>
            <w:r>
              <w:rPr>
                <w:rFonts w:ascii="Simplified Arabic" w:hAnsi="Simplified Arabic" w:eastAsia="Times New Roman" w:cs="Simplified Arabic"/>
                <w:color w:val="77933C" w:themeColor="accent3" w:themeShade="BF"/>
                <w:sz w:val="24"/>
                <w:szCs w:val="24"/>
                <w:rtl/>
              </w:rPr>
              <w:t>الإجمالي</w:t>
            </w:r>
          </w:p>
        </w:tc>
      </w:tr>
    </w:tbl>
    <w:p w14:paraId="76FDBF00">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b/>
          <w:bCs/>
          <w:sz w:val="24"/>
          <w:szCs w:val="24"/>
          <w:rtl/>
        </w:rPr>
        <w:t>يبين الجدول (13) أن 83.3% من المفكرين في المغادرة اعتبروا فقدان القدرة على إكمال التعليم سبباً أساسياً أو مهماً. هذا يؤكد أن إبادة التعليم ليست مجرد خسارة معرفية، بل استراتيجية استعمارية لتسهيل التهجير عبر تقويض الأمن الوجودي، بما يتسق مع تحليل فيراسيني</w:t>
      </w:r>
      <w:r>
        <w:rPr>
          <w:rFonts w:ascii="Simplified Arabic" w:hAnsi="Simplified Arabic" w:eastAsia="Times New Roman" w:cs="Simplified Arabic"/>
          <w:b/>
          <w:bCs/>
          <w:sz w:val="24"/>
          <w:szCs w:val="24"/>
        </w:rPr>
        <w:t xml:space="preserve"> (Veracini, 2013, p. 318) </w:t>
      </w:r>
      <w:r>
        <w:rPr>
          <w:rFonts w:ascii="Simplified Arabic" w:hAnsi="Simplified Arabic" w:eastAsia="Times New Roman" w:cs="Simplified Arabic"/>
          <w:b/>
          <w:bCs/>
          <w:sz w:val="24"/>
          <w:szCs w:val="24"/>
          <w:rtl/>
        </w:rPr>
        <w:t>حول ارتباط الاستعمار الاستيطاني بإنتاج اللاوجود ودفع السكان الأصليين نحو الرحيل</w:t>
      </w:r>
      <w:r>
        <w:rPr>
          <w:rFonts w:ascii="Simplified Arabic" w:hAnsi="Simplified Arabic" w:eastAsia="Times New Roman" w:cs="Simplified Arabic"/>
          <w:b/>
          <w:bCs/>
          <w:sz w:val="24"/>
          <w:szCs w:val="24"/>
        </w:rPr>
        <w:t>.</w:t>
      </w:r>
    </w:p>
    <w:p w14:paraId="66237175">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i/>
          <w:iCs/>
          <w:sz w:val="24"/>
          <w:szCs w:val="24"/>
          <w:rtl/>
        </w:rPr>
        <w:t>المصدر: إعداد الباحثَيْن بالاستناد إلى استجابات المشاركين وتحليلها وفق منهج</w:t>
      </w:r>
      <w:r>
        <w:rPr>
          <w:rFonts w:ascii="Simplified Arabic" w:hAnsi="Simplified Arabic" w:eastAsia="Times New Roman" w:cs="Simplified Arabic"/>
          <w:i/>
          <w:iCs/>
          <w:sz w:val="24"/>
          <w:szCs w:val="24"/>
        </w:rPr>
        <w:t xml:space="preserve"> EDA (2024).</w:t>
      </w:r>
    </w:p>
    <w:p w14:paraId="3650FF68">
      <w:pPr>
        <w:pStyle w:val="3"/>
        <w:bidi/>
        <w:spacing w:line="240" w:lineRule="auto"/>
        <w:rPr>
          <w:rFonts w:ascii="Simplified Arabic" w:hAnsi="Simplified Arabic" w:cs="Simplified Arabic"/>
          <w:color w:val="auto"/>
          <w:sz w:val="24"/>
          <w:szCs w:val="24"/>
          <w:rtl/>
        </w:rPr>
      </w:pPr>
      <w:r>
        <w:rPr>
          <w:rFonts w:ascii="Simplified Arabic" w:hAnsi="Simplified Arabic" w:cs="Simplified Arabic"/>
          <w:color w:val="auto"/>
          <w:sz w:val="24"/>
          <w:szCs w:val="24"/>
          <w:rtl/>
        </w:rPr>
        <w:t>سادساً: ملخص النتائج الرئيسية</w:t>
      </w:r>
    </w:p>
    <w:p w14:paraId="57E21325">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تُظهر النتائج، في مجموعها، أن استهداف التعليم الفلسطيني ليس مجرد أثر جانبي للحرب، بل ممارسة استعمارية ممنهجة تستهدف البنية الوجودية للمجتمع. ففي غزة يتجلى منطق الإزالة عبر التدمير السريع والشامل للمؤسسات الأكاديمية والأرشيفات، بينما يظهر في القدس كعنف بطيء يعيد تشكيل الهوية عبر المناهج والتحريف الرمزي. هذه الممارسات أدت إلى تآكل الأمن الوجودي، حيث عبّر 93.3% من المشاركين عن فقدان المستقبل، وارتبط فقدان التعليم مباشرة بالتفكير في التهجير. ومع ذلك، تكشف النتائج أيضاً عن مسارات مقاومة معرفية: الجامعات في الخيام، الدعاوى القضائية، والجامعة الشاهدة التي وثّقت الدمار وحفظت الإنتاج العلمي. بذلك يصبح التعليم، في لحظة الإبادة ذاتها، مجالاً لإعادة إنتاج الوجود والصمود، ويغدو ساحة مركزية للصراع على الهوية والمعرفة في فلسطين</w:t>
      </w:r>
      <w:r>
        <w:rPr>
          <w:rFonts w:ascii="Simplified Arabic" w:hAnsi="Simplified Arabic" w:eastAsia="Times New Roman" w:cs="Simplified Arabic"/>
          <w:sz w:val="24"/>
          <w:szCs w:val="24"/>
        </w:rPr>
        <w:t>.</w:t>
      </w:r>
    </w:p>
    <w:p w14:paraId="48E1CBD8">
      <w:pPr>
        <w:bidi/>
        <w:spacing w:before="100" w:beforeAutospacing="1" w:after="100" w:afterAutospacing="1" w:line="240" w:lineRule="auto"/>
        <w:rPr>
          <w:rFonts w:ascii="Simplified Arabic" w:hAnsi="Simplified Arabic" w:eastAsia="Times New Roman" w:cs="Simplified Arabic"/>
          <w:sz w:val="24"/>
          <w:szCs w:val="24"/>
        </w:rPr>
      </w:pPr>
      <w:r>
        <w:rPr>
          <w:rFonts w:ascii="Simplified Arabic" w:hAnsi="Simplified Arabic" w:eastAsia="Times New Roman" w:cs="Simplified Arabic"/>
          <w:sz w:val="24"/>
          <w:szCs w:val="24"/>
          <w:rtl/>
        </w:rPr>
        <w:t>وعليه، فإن مجمل الجداول (1–13) تؤكد أن إبادة التعليم تعمل على ثلاثة مستويات متكاملة: (1) التدمير المادي للمؤسسات والكوادر، (2) العنف البطيء عبر المناهج والتحريف، (3) تقويض الأمن الوجودي ودفع السكان نحو التهجير. في المقابل، يظهر التعليم كأداة مقاومة وجودية ومعرفية، حيث يتحول من موضوع للعنف إلى فاعل في إنتاج الشهادة وحفظ الذاكرة. هذا التركيب التفسيري العام يضع التعليم في قلب المعركة الاستعمارية، ويبرهن أن الدفاع عنه ليس دفاعاً عن قطاع خدمي، بل عن شرط وجودي ومعرفي للمجتمع الفلسطيني</w:t>
      </w:r>
      <w:r>
        <w:rPr>
          <w:rFonts w:ascii="Simplified Arabic" w:hAnsi="Simplified Arabic" w:eastAsia="Times New Roman" w:cs="Simplified Arabic"/>
          <w:sz w:val="24"/>
          <w:szCs w:val="24"/>
        </w:rPr>
        <w:t>.</w:t>
      </w:r>
    </w:p>
    <w:p w14:paraId="4B336110">
      <w:pPr>
        <w:pStyle w:val="10"/>
        <w:rPr>
          <w:rFonts w:ascii="Simplified Arabic" w:hAnsi="Simplified Arabic" w:cs="Simplified Arabic"/>
        </w:rPr>
      </w:pPr>
    </w:p>
    <w:p w14:paraId="2E2BF795">
      <w:pPr>
        <w:pStyle w:val="3"/>
        <w:bidi/>
        <w:rPr>
          <w:rFonts w:ascii="Simplified Arabic" w:hAnsi="Simplified Arabic" w:cs="Simplified Arabic"/>
          <w:color w:val="auto"/>
        </w:rPr>
      </w:pPr>
      <w:r>
        <w:rPr>
          <w:rFonts w:ascii="Simplified Arabic" w:hAnsi="Simplified Arabic" w:cs="Simplified Arabic"/>
          <w:color w:val="auto"/>
          <w:rtl/>
        </w:rPr>
        <w:t>أولاً: النتائج العامة</w:t>
      </w:r>
    </w:p>
    <w:p w14:paraId="60BF4ED9">
      <w:pPr>
        <w:pStyle w:val="10"/>
        <w:bidi/>
        <w:rPr>
          <w:rFonts w:ascii="Simplified Arabic" w:hAnsi="Simplified Arabic" w:cs="Simplified Arabic"/>
        </w:rPr>
      </w:pPr>
      <w:r>
        <w:rPr>
          <w:rFonts w:ascii="Simplified Arabic" w:hAnsi="Simplified Arabic" w:cs="Simplified Arabic"/>
          <w:rtl/>
        </w:rPr>
        <w:t>تكشف هذه الدراسة أن إبادة التعليم في فلسطين ليست ضرراً جانبياً للحرب، بل ممارسة استعمارية ممنهجة تستهدف البنية الوجودية والمعرفية للمجتمع الفلسطيني. في غزة، تجلت هذه الإبادة في التدمير الشامل للجامعات والمكتبات والمدارس، واستهداف الأكاديميين في العلوم الإنسانية والاجتماعية، بما يعكس محاولة واعية لمحو الذاكرة الجمعية وقطع سلسلة إنتاج الرواية الوطنية. وفي القدس، اتخذت شكل عنف بطيء عبر فرض المناهج المحرّفة وربط التمويل بالامتثال وإعادة تعريف الهوية الفلسطينية ضمن سردية المستعمِر، من خلال حذف «فلسطين» والرموز الوطنية وإعادة تأطير النكبة</w:t>
      </w:r>
      <w:r>
        <w:rPr>
          <w:rFonts w:ascii="Simplified Arabic" w:hAnsi="Simplified Arabic" w:cs="Simplified Arabic"/>
        </w:rPr>
        <w:t>.</w:t>
      </w:r>
    </w:p>
    <w:p w14:paraId="1808D01A">
      <w:pPr>
        <w:pStyle w:val="10"/>
        <w:bidi/>
        <w:rPr>
          <w:rFonts w:ascii="Simplified Arabic" w:hAnsi="Simplified Arabic" w:cs="Simplified Arabic"/>
        </w:rPr>
      </w:pPr>
      <w:r>
        <w:rPr>
          <w:rFonts w:ascii="Simplified Arabic" w:hAnsi="Simplified Arabic" w:cs="Simplified Arabic"/>
          <w:rtl/>
        </w:rPr>
        <w:t>كما أظهرت النتائج أن التعليم يشكّل ركناً أساسياً للأمن الوجودي، وأن ضربه يؤدي إلى فقدان الروتين اليومي التعليمي، واضطراب السردية الذاتية، وتآكل الثقة بالمستقبل، وهو ما انعكس في مفردات القلق الوجودي مثل «فقدت مستقبلي» و«لا أعرف من أكون بدون الجامعة». في المقابل، برز التعليم كشرط للوجود ذاته في وعي المشاركين، عبر مفهوم «الصمود الأنطولوجي» الذي يتجسد في التعليم بالخيام، والمقاومة القانونية، وممارسات «الجامعة الشاهدة» التي توثّق وتحفظ وتُصدر الشهادة. وأخيراً، ارتبط فقدان القدرة على مواصلة التعليم مباشرة بارتفاع التفكير في التهجير، ما يؤكد أن إبادة التعليم تعمل كآلية بنيوية لتسهيل التهجير القسري عبر تقويض الأمن الوجودي وإغلاق أفق المستقبل</w:t>
      </w:r>
      <w:r>
        <w:rPr>
          <w:rFonts w:ascii="Simplified Arabic" w:hAnsi="Simplified Arabic" w:cs="Simplified Arabic"/>
        </w:rPr>
        <w:t>.</w:t>
      </w:r>
    </w:p>
    <w:p w14:paraId="1C7BB097">
      <w:pPr>
        <w:pStyle w:val="3"/>
        <w:bidi/>
        <w:rPr>
          <w:rFonts w:ascii="Simplified Arabic" w:hAnsi="Simplified Arabic" w:cs="Simplified Arabic"/>
          <w:color w:val="auto"/>
        </w:rPr>
      </w:pPr>
      <w:r>
        <w:rPr>
          <w:rFonts w:ascii="Simplified Arabic" w:hAnsi="Simplified Arabic" w:cs="Simplified Arabic"/>
          <w:color w:val="auto"/>
          <w:rtl/>
        </w:rPr>
        <w:t>ثانياً: مناقشة النتائج</w:t>
      </w:r>
    </w:p>
    <w:p w14:paraId="6005973A">
      <w:pPr>
        <w:pStyle w:val="10"/>
        <w:bidi/>
        <w:rPr>
          <w:rFonts w:ascii="Simplified Arabic" w:hAnsi="Simplified Arabic" w:cs="Simplified Arabic"/>
        </w:rPr>
      </w:pPr>
      <w:r>
        <w:rPr>
          <w:rFonts w:ascii="Simplified Arabic" w:hAnsi="Simplified Arabic" w:cs="Simplified Arabic"/>
          <w:rtl/>
        </w:rPr>
        <w:t>تؤكد النتائج أن الاستعمار الاستيطاني يستهدف التعليم بوصفه حاملاً للذاكرة والهوية، لا مجرد قطاع خدمي، إذ يعمل في غزة عبر منطق الإلغاء بالتدمير المادي الشامل للمؤسسات التعليمية وأوعيتها الأرشيفية، وفي القدس عبر العنف البطيء الذي يعيد تشكيل الوعي من الداخل من خلال المناهج المحرّفة وسياسات التمويل المشروط. هذا ينسجم مع أدبيات الإبادة المعرفية والاستعمار المعرفي والظلم الإبستمولوجي، حيث تصبح السيطرة على المعرفة والسردية التاريخية أداة هيمنة موازية للسيطرة على الأرض والموارد</w:t>
      </w:r>
      <w:r>
        <w:rPr>
          <w:rFonts w:ascii="Simplified Arabic" w:hAnsi="Simplified Arabic" w:cs="Simplified Arabic"/>
        </w:rPr>
        <w:t>.</w:t>
      </w:r>
    </w:p>
    <w:p w14:paraId="661AB177">
      <w:pPr>
        <w:pStyle w:val="10"/>
        <w:bidi/>
        <w:rPr>
          <w:rFonts w:ascii="Simplified Arabic" w:hAnsi="Simplified Arabic" w:cs="Simplified Arabic"/>
        </w:rPr>
      </w:pPr>
      <w:r>
        <w:rPr>
          <w:rFonts w:ascii="Simplified Arabic" w:hAnsi="Simplified Arabic" w:cs="Simplified Arabic"/>
          <w:rtl/>
        </w:rPr>
        <w:t>أما على مستوى الأمن الوجودي، فإن ضرب التعليم يقوّض الأعمدة الثلاثة التي تحدث عنها غيدنز وميتزن وستيل: الروتين اليومي الذي يمنح الحياة استمرارية، والسردية الذاتية التي تمنحها معنى، والثقة بالمستقبل التي تمنحها اتجاهاً. تظهر النتائج أن تدمير الجامعة أو المدرسة لا يعني فقط ضياع فرصة تعليمية، بل انهيار إطار الزمن الشخصي والجماعي، وهو ما يفسر العلاقة الواضحة بين تآكل الأمن الوجودي والتفكير في الهجرة، بحيث تتحول إبادة التعليم من نتيجة للحرب إلى أداة استراتيجية لتهيئة شروط التهجير والاستئصال الديمغرافي</w:t>
      </w:r>
      <w:r>
        <w:rPr>
          <w:rFonts w:ascii="Simplified Arabic" w:hAnsi="Simplified Arabic" w:cs="Simplified Arabic"/>
        </w:rPr>
        <w:t>.</w:t>
      </w:r>
    </w:p>
    <w:p w14:paraId="29DFA1EC">
      <w:pPr>
        <w:pStyle w:val="10"/>
        <w:bidi/>
        <w:rPr>
          <w:rFonts w:ascii="Simplified Arabic" w:hAnsi="Simplified Arabic" w:cs="Simplified Arabic"/>
        </w:rPr>
      </w:pPr>
      <w:r>
        <w:rPr>
          <w:rFonts w:ascii="Simplified Arabic" w:hAnsi="Simplified Arabic" w:cs="Simplified Arabic"/>
          <w:rtl/>
        </w:rPr>
        <w:t>في المقابل، تكشف نتائج الصمود الأنطولوجي والجامعة الشاهدة عن مساهمة نظرية أصيلة في فهم الاستجابات الفلسطينية؛ إذ يتحول التعليم من موضوع للعنف إلى فاعل معرفي يمارس السيادة على الذاكرة والمعرفة، من خلال التعليم في الخيام، والمرافعة القانونية أمام المحاكم، والتوثيق والأرشفة الرقمية لممارسات الإبادة. بهذا المعنى، تبرز «الجامعة الشاهدة» بوصفها نموذجاً لمؤسسة أكاديمية لا تكتفي بالنجاة أو إعادة الإعمار، بل تمارس دوراً وجودياً في حفظ الذاكرة وإنتاج الشهادة ومقاومة منطق الإلغاء الاستعماري</w:t>
      </w:r>
      <w:r>
        <w:rPr>
          <w:rFonts w:ascii="Simplified Arabic" w:hAnsi="Simplified Arabic" w:cs="Simplified Arabic"/>
        </w:rPr>
        <w:t>.</w:t>
      </w:r>
    </w:p>
    <w:p w14:paraId="1B711BA2">
      <w:pPr>
        <w:pStyle w:val="3"/>
        <w:bidi/>
        <w:rPr>
          <w:rFonts w:ascii="Simplified Arabic" w:hAnsi="Simplified Arabic" w:cs="Simplified Arabic"/>
          <w:color w:val="auto"/>
        </w:rPr>
      </w:pPr>
      <w:r>
        <w:rPr>
          <w:rFonts w:ascii="Simplified Arabic" w:hAnsi="Simplified Arabic" w:cs="Simplified Arabic"/>
          <w:color w:val="auto"/>
          <w:rtl/>
        </w:rPr>
        <w:t>ثالثاً: التوصيات</w:t>
      </w:r>
    </w:p>
    <w:p w14:paraId="79C35DFA">
      <w:pPr>
        <w:pStyle w:val="4"/>
        <w:keepNext/>
        <w:keepLines/>
        <w:numPr>
          <w:ilvl w:val="0"/>
          <w:numId w:val="8"/>
        </w:numPr>
        <w:bidi/>
        <w:spacing w:before="200" w:beforeAutospacing="0" w:after="0" w:afterAutospacing="0" w:line="360" w:lineRule="auto"/>
        <w:rPr>
          <w:rFonts w:ascii="Simplified Arabic" w:hAnsi="Simplified Arabic" w:cs="Simplified Arabic"/>
        </w:rPr>
      </w:pPr>
      <w:r>
        <w:rPr>
          <w:rFonts w:ascii="Simplified Arabic" w:hAnsi="Simplified Arabic" w:cs="Simplified Arabic"/>
          <w:rtl/>
        </w:rPr>
        <w:t>للمؤسسات والجامعات الفلسطينية</w:t>
      </w:r>
    </w:p>
    <w:p w14:paraId="62929531">
      <w:pPr>
        <w:numPr>
          <w:ilvl w:val="0"/>
          <w:numId w:val="9"/>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تبنّي نموذج «الجامعة الشاهدة» عبر وحدات دائمة للتوثيق والأرشفة الرقمية تحفظ الأبحاث والرسائل والوثائق على خوادم آمنة ومتعددة المواقع، مع بروتوكولات طوارئ لحماية المحتوى في حالات الحرب والإغلاق</w:t>
      </w:r>
      <w:r>
        <w:rPr>
          <w:rFonts w:ascii="Simplified Arabic" w:hAnsi="Simplified Arabic" w:cs="Simplified Arabic"/>
        </w:rPr>
        <w:t>.</w:t>
      </w:r>
    </w:p>
    <w:p w14:paraId="5073EA3E">
      <w:pPr>
        <w:numPr>
          <w:ilvl w:val="0"/>
          <w:numId w:val="9"/>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تطوير برامج للتعليم الطارئ يمكن تنفيذها دون اتصال دائم بالإنترنت، مثل مواد مطبوعة مبسطة، محتوى على وسائط قابلة للنقل، وبرامج إذاعية تعليمية، مع تدريب الكوادر على إدارة التعليم في ظروف القصف والنزوح</w:t>
      </w:r>
      <w:r>
        <w:rPr>
          <w:rFonts w:ascii="Simplified Arabic" w:hAnsi="Simplified Arabic" w:cs="Simplified Arabic"/>
        </w:rPr>
        <w:t>.</w:t>
      </w:r>
    </w:p>
    <w:p w14:paraId="4AD0F032">
      <w:pPr>
        <w:numPr>
          <w:ilvl w:val="0"/>
          <w:numId w:val="9"/>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بناء شبكات معرفية لا مركزية مع جامعات فلسطينية وعربية ودولية، بهدف إنشاء أرشيف فلسطيني موحد وتسهيل النشر المشترك، بما يقلل من قابلية المعرفة الفلسطينية للإبادة الموضعية</w:t>
      </w:r>
      <w:r>
        <w:rPr>
          <w:rFonts w:ascii="Simplified Arabic" w:hAnsi="Simplified Arabic" w:cs="Simplified Arabic"/>
        </w:rPr>
        <w:t>.</w:t>
      </w:r>
    </w:p>
    <w:p w14:paraId="0B3270E9">
      <w:pPr>
        <w:numPr>
          <w:ilvl w:val="0"/>
          <w:numId w:val="9"/>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توفير دعم نفسي–وجودي منظم للطلبة والكوادر التعليمية عبر عيادات متخصصة وبرامج إرشاد جماعي، لمعالجة القلق الوجودي واضطراب فقدان المستقبل</w:t>
      </w:r>
      <w:r>
        <w:rPr>
          <w:rFonts w:ascii="Simplified Arabic" w:hAnsi="Simplified Arabic" w:cs="Simplified Arabic"/>
        </w:rPr>
        <w:t>.</w:t>
      </w:r>
    </w:p>
    <w:p w14:paraId="40318F1B">
      <w:pPr>
        <w:numPr>
          <w:ilvl w:val="0"/>
          <w:numId w:val="9"/>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تعزيز السيادة المعرفية من خلال تطوير مناهج تعليمية وطنية تستند إلى الهوية والذاكرة الفلسطينية، وتشجيع البحث العلمي المنتج للمعرفة من داخل التجربة الفلسطينية، ودعم النشر بالعربية إلى جانب اللغات الأجنبية</w:t>
      </w:r>
      <w:r>
        <w:rPr>
          <w:rFonts w:ascii="Simplified Arabic" w:hAnsi="Simplified Arabic" w:cs="Simplified Arabic"/>
        </w:rPr>
        <w:t>.</w:t>
      </w:r>
    </w:p>
    <w:p w14:paraId="1C30524E">
      <w:pPr>
        <w:pStyle w:val="4"/>
        <w:keepNext/>
        <w:keepLines/>
        <w:numPr>
          <w:ilvl w:val="0"/>
          <w:numId w:val="8"/>
        </w:numPr>
        <w:bidi/>
        <w:spacing w:before="200" w:beforeAutospacing="0" w:after="0" w:afterAutospacing="0" w:line="360" w:lineRule="auto"/>
        <w:rPr>
          <w:rFonts w:ascii="Simplified Arabic" w:hAnsi="Simplified Arabic" w:cs="Simplified Arabic"/>
        </w:rPr>
      </w:pPr>
      <w:r>
        <w:rPr>
          <w:rFonts w:ascii="Simplified Arabic" w:hAnsi="Simplified Arabic" w:cs="Simplified Arabic"/>
          <w:rtl/>
        </w:rPr>
        <w:t>للمجتمع الدولي والمنظمات الأممية</w:t>
      </w:r>
    </w:p>
    <w:p w14:paraId="4E481FCB">
      <w:pPr>
        <w:numPr>
          <w:ilvl w:val="0"/>
          <w:numId w:val="10"/>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الاعتراف بمفهوم «إبادة التعليم» كإطار مفاهيمي وقانوني مستقل، وإدراجه في تقارير المنظمات الدولية بدلاً من توصيفات عامة مثل «أزمة تعليمية</w:t>
      </w:r>
      <w:r>
        <w:rPr>
          <w:rFonts w:ascii="Simplified Arabic" w:hAnsi="Simplified Arabic" w:cs="Simplified Arabic"/>
        </w:rPr>
        <w:t>».</w:t>
      </w:r>
    </w:p>
    <w:p w14:paraId="0DD45E04">
      <w:pPr>
        <w:numPr>
          <w:ilvl w:val="0"/>
          <w:numId w:val="10"/>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دعم إعادة الإعمار المعرفي عبر تمويل إعادة بناء الجامعات والمدارس والمكتبات والبنى الرقمية، وتوفير منح دراسية كاملة لطلبة غزة مع ضمان حق العودة الأكاديمية</w:t>
      </w:r>
      <w:r>
        <w:rPr>
          <w:rFonts w:ascii="Simplified Arabic" w:hAnsi="Simplified Arabic" w:cs="Simplified Arabic"/>
        </w:rPr>
        <w:t>.</w:t>
      </w:r>
    </w:p>
    <w:p w14:paraId="4745CD95">
      <w:pPr>
        <w:numPr>
          <w:ilvl w:val="0"/>
          <w:numId w:val="10"/>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الضغط لوقف سياسات المحو المعرفي في القدس وغزة، بما في ذلك فرض المناهج المحرّفة واعتقال الأكاديميين والمعلمين، والحصار على دخول الكتب والمعدات التعليمية</w:t>
      </w:r>
      <w:r>
        <w:rPr>
          <w:rFonts w:ascii="Simplified Arabic" w:hAnsi="Simplified Arabic" w:cs="Simplified Arabic"/>
        </w:rPr>
        <w:t>.</w:t>
      </w:r>
    </w:p>
    <w:p w14:paraId="5E2A2C31">
      <w:pPr>
        <w:numPr>
          <w:ilvl w:val="0"/>
          <w:numId w:val="10"/>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دعم وحدات التوثيق الفلسطينية مادياً ومعنوياً، والمساهمة في إنشاء متحف رقمي دولي يوثق جرائم إبادة التعليم في فلسطين</w:t>
      </w:r>
      <w:r>
        <w:rPr>
          <w:rFonts w:ascii="Simplified Arabic" w:hAnsi="Simplified Arabic" w:cs="Simplified Arabic"/>
        </w:rPr>
        <w:t>.</w:t>
      </w:r>
    </w:p>
    <w:p w14:paraId="0B47D9FE">
      <w:pPr>
        <w:pStyle w:val="4"/>
        <w:keepNext/>
        <w:keepLines/>
        <w:numPr>
          <w:ilvl w:val="0"/>
          <w:numId w:val="8"/>
        </w:numPr>
        <w:bidi/>
        <w:spacing w:before="200" w:beforeAutospacing="0" w:after="0" w:afterAutospacing="0" w:line="360" w:lineRule="auto"/>
        <w:rPr>
          <w:rFonts w:ascii="Simplified Arabic" w:hAnsi="Simplified Arabic" w:cs="Simplified Arabic"/>
        </w:rPr>
      </w:pPr>
      <w:r>
        <w:rPr>
          <w:rFonts w:ascii="Simplified Arabic" w:hAnsi="Simplified Arabic" w:cs="Simplified Arabic"/>
          <w:rtl/>
        </w:rPr>
        <w:t>للباحثين والأكاديميين</w:t>
      </w:r>
    </w:p>
    <w:p w14:paraId="63DDA651">
      <w:pPr>
        <w:numPr>
          <w:ilvl w:val="0"/>
          <w:numId w:val="11"/>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توسيع البحث المقارن حول إبادة التعليم عبر دراسة حالات مشابهة (كشمير، الروهينغا، الشعوب الأصلية)، لتعميق الفهم النظري للعلاقة بين الاستعمار والمعرفة والأمن الوجودي</w:t>
      </w:r>
      <w:r>
        <w:rPr>
          <w:rFonts w:ascii="Simplified Arabic" w:hAnsi="Simplified Arabic" w:cs="Simplified Arabic"/>
        </w:rPr>
        <w:t>.</w:t>
      </w:r>
    </w:p>
    <w:p w14:paraId="368221CD">
      <w:pPr>
        <w:numPr>
          <w:ilvl w:val="0"/>
          <w:numId w:val="11"/>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تطوير أدوات قياس جديدة لتآكل الأمن الوجودي والصمود الأنطولوجي، قابلة للتطبيق في سياقات متعددة، وبناء مقاييس سيكولوجية–اجتماعية تتكامل مع منهج تحليل خطاب الوجود</w:t>
      </w:r>
      <w:r>
        <w:rPr>
          <w:rFonts w:ascii="Simplified Arabic" w:hAnsi="Simplified Arabic" w:cs="Simplified Arabic"/>
        </w:rPr>
        <w:t>.</w:t>
      </w:r>
    </w:p>
    <w:p w14:paraId="4C55B5F3">
      <w:pPr>
        <w:numPr>
          <w:ilvl w:val="0"/>
          <w:numId w:val="11"/>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الانخراط في المناصرة الأكاديمية الدولية من خلال التعاون المباشر مع الجامعات الفلسطينية في مشاريع التوثيق، والمشاركة في حملات الدفاع عن الأكاديميين والطلبة المستهدفين، والنشر المكثف في المجلات العلمية والمحافل الدولية لإيصال سردية إبادة التعليم الفلسطينية إلى فضاء المعرفة العالمي</w:t>
      </w:r>
      <w:r>
        <w:rPr>
          <w:rFonts w:ascii="Simplified Arabic" w:hAnsi="Simplified Arabic" w:cs="Simplified Arabic"/>
        </w:rPr>
        <w:t>.</w:t>
      </w:r>
    </w:p>
    <w:p w14:paraId="385D3EFD">
      <w:pPr>
        <w:pStyle w:val="3"/>
        <w:bidi/>
        <w:rPr>
          <w:rFonts w:ascii="Simplified Arabic" w:hAnsi="Simplified Arabic" w:cs="Simplified Arabic"/>
          <w:color w:val="auto"/>
        </w:rPr>
      </w:pPr>
      <w:r>
        <w:rPr>
          <w:rFonts w:ascii="Simplified Arabic" w:hAnsi="Simplified Arabic" w:cs="Simplified Arabic"/>
          <w:color w:val="auto"/>
          <w:rtl/>
        </w:rPr>
        <w:t>رابعاً: الخاتمة</w:t>
      </w:r>
    </w:p>
    <w:p w14:paraId="028D768D">
      <w:pPr>
        <w:pStyle w:val="10"/>
        <w:bidi/>
        <w:rPr>
          <w:rFonts w:ascii="Simplified Arabic" w:hAnsi="Simplified Arabic" w:cs="Simplified Arabic"/>
        </w:rPr>
      </w:pPr>
      <w:r>
        <w:rPr>
          <w:rFonts w:ascii="Simplified Arabic" w:hAnsi="Simplified Arabic" w:cs="Simplified Arabic"/>
          <w:rtl/>
        </w:rPr>
        <w:t>تخلص هذه الدراسة إلى أن التعليم في فلسطين يقع في قلب صراع يتجاوز حدود «الحق في التعليم» بالمفهوم الحقوقي الضيق، إلى سؤال أعمق هو «الحق في الوجود» نفسه، إذ تعمل إبادة التعليم كأداة استعمارية مركبة تستهدف المؤسسات التعليمية، وأوعية الذاكرة الجمعية، وأعمدة الأمن الوجودي، وتفتح الطريق أمام التهجير القسري عبر إنتاج شعور واسع بفقدان المستقبل. في مواجهة هذا، يكشف تحليل خطاب الوجود عن أشكال كثيفة من الصمود الأنطولوجي، حيث يتحول التعليم في الخيام، والمقاومة القانونية، وممارسات التوثيق والأرشفة الرقمية، إلى وسائل لإعادة إنتاج الوجود والهوية والمعرفة تحت شروط الإبادة</w:t>
      </w:r>
      <w:r>
        <w:rPr>
          <w:rFonts w:ascii="Simplified Arabic" w:hAnsi="Simplified Arabic" w:cs="Simplified Arabic"/>
        </w:rPr>
        <w:t>.</w:t>
      </w:r>
    </w:p>
    <w:p w14:paraId="402CBED4">
      <w:pPr>
        <w:pStyle w:val="10"/>
        <w:bidi/>
        <w:rPr>
          <w:rFonts w:ascii="Simplified Arabic" w:hAnsi="Simplified Arabic" w:cs="Simplified Arabic"/>
        </w:rPr>
      </w:pPr>
      <w:r>
        <w:rPr>
          <w:rFonts w:ascii="Simplified Arabic" w:hAnsi="Simplified Arabic" w:cs="Simplified Arabic"/>
          <w:rtl/>
        </w:rPr>
        <w:t>ومن خلال تطوير مفهوم «الجامعة الشاهدة»، تجيب الدراسة عن سؤال المؤتمر «أي تعليم نريد؟» بتعريف التعليم كفعل سيادة معرفية ووجودية لا مجرد خدمة، تعليماً يحفظ الذاكرة من المحو، وينتج المعرفة المقاومة، ويحوّل الجامعة والمدرسة إلى فواعل تشهد وتوثّق وتقاطع منطق الإلغاء الاستعماري. بهذا المعنى، يصبح التعليم جبهة مركزية في معركة الوجود الفلسطيني، ومصدراً لإنتاج معرفة نقدية عالمية حول الإبادة والصمود والسيادة المعرفية في زمن الاستعمار المتجدد، ويغدو كل فعل تعلّم أو تدريس أو توثيق تحت القصف إعلاناً متجدداً</w:t>
      </w:r>
    </w:p>
    <w:p w14:paraId="16E65C67">
      <w:pPr>
        <w:bidi/>
        <w:spacing w:line="240" w:lineRule="auto"/>
        <w:rPr>
          <w:rFonts w:ascii="Simplified Arabic" w:hAnsi="Simplified Arabic" w:cs="Simplified Arabic"/>
          <w:b/>
          <w:bCs/>
          <w:sz w:val="24"/>
          <w:szCs w:val="24"/>
        </w:rPr>
      </w:pPr>
      <w:r>
        <w:rPr>
          <w:rFonts w:ascii="Simplified Arabic" w:hAnsi="Simplified Arabic" w:cs="Simplified Arabic"/>
          <w:b/>
          <w:bCs/>
          <w:sz w:val="24"/>
          <w:szCs w:val="24"/>
          <w:rtl/>
        </w:rPr>
        <w:t>"ما زلنا هنا. ما زلنا نُفكر. ما زلنا نُنتج المعرفة. إذن، ما زلنا موجودين."</w:t>
      </w:r>
    </w:p>
    <w:p w14:paraId="450C51A8">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t>وهذا، في التحليل النهائي، هو جوهر "الوجودية الفلسطينية": وجود لا يقبل المحو، لأنه وجود بالمعرفة.</w:t>
      </w:r>
    </w:p>
    <w:p w14:paraId="291653B1">
      <w:pPr>
        <w:bidi/>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Pr>
        <w:drawing>
          <wp:inline distT="0" distB="0" distL="0" distR="0">
            <wp:extent cx="5943600" cy="32385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pic:cNvPicPr>
                  </pic:nvPicPr>
                  <pic:blipFill>
                    <a:blip r:embed="rId9" cstate="print">
                      <a:extLst>
                        <a:ext uri="{28A0092B-C50C-407E-A947-70E740481C1C}">
                          <a14:useLocalDpi xmlns:a14="http://schemas.microsoft.com/office/drawing/2010/main" val="0"/>
                        </a:ext>
                      </a:extLst>
                    </a:blip>
                    <a:srcRect l="-1" r="-77" b="2298"/>
                    <a:stretch>
                      <a:fillRect/>
                    </a:stretch>
                  </pic:blipFill>
                  <pic:spPr>
                    <a:xfrm>
                      <a:off x="0" y="0"/>
                      <a:ext cx="5948154" cy="3240982"/>
                    </a:xfrm>
                    <a:prstGeom prst="rect">
                      <a:avLst/>
                    </a:prstGeom>
                    <a:ln>
                      <a:noFill/>
                    </a:ln>
                  </pic:spPr>
                </pic:pic>
              </a:graphicData>
            </a:graphic>
          </wp:inline>
        </w:drawing>
      </w:r>
    </w:p>
    <w:p w14:paraId="63346A6B">
      <w:pPr>
        <w:bidi/>
        <w:spacing w:line="240" w:lineRule="auto"/>
        <w:rPr>
          <w:rFonts w:ascii="Simplified Arabic" w:hAnsi="Simplified Arabic" w:cs="Simplified Arabic"/>
          <w:b/>
          <w:bCs/>
          <w:sz w:val="24"/>
          <w:szCs w:val="24"/>
          <w:rtl/>
        </w:rPr>
      </w:pPr>
    </w:p>
    <w:p w14:paraId="455A8A2C">
      <w:pPr>
        <w:bidi/>
        <w:spacing w:line="240" w:lineRule="auto"/>
        <w:rPr>
          <w:rFonts w:ascii="Simplified Arabic" w:hAnsi="Simplified Arabic" w:cs="Simplified Arabic"/>
          <w:b/>
          <w:bCs/>
          <w:sz w:val="24"/>
          <w:szCs w:val="24"/>
          <w:rtl/>
        </w:rPr>
      </w:pPr>
    </w:p>
    <w:p w14:paraId="327FC740">
      <w:pPr>
        <w:bidi/>
        <w:spacing w:line="240" w:lineRule="auto"/>
        <w:rPr>
          <w:rFonts w:ascii="Simplified Arabic" w:hAnsi="Simplified Arabic" w:cs="Simplified Arabic"/>
          <w:b/>
          <w:bCs/>
          <w:sz w:val="24"/>
          <w:szCs w:val="24"/>
          <w:rtl/>
        </w:rPr>
      </w:pPr>
    </w:p>
    <w:p w14:paraId="09C94F38">
      <w:pPr>
        <w:bidi/>
        <w:spacing w:line="240" w:lineRule="auto"/>
        <w:rPr>
          <w:rFonts w:ascii="Simplified Arabic" w:hAnsi="Simplified Arabic" w:cs="Simplified Arabic"/>
          <w:b/>
          <w:bCs/>
          <w:sz w:val="24"/>
          <w:szCs w:val="24"/>
          <w:rtl/>
        </w:rPr>
      </w:pPr>
    </w:p>
    <w:p w14:paraId="1390141E">
      <w:pPr>
        <w:bidi/>
        <w:spacing w:line="240" w:lineRule="auto"/>
        <w:rPr>
          <w:rFonts w:ascii="Simplified Arabic" w:hAnsi="Simplified Arabic" w:cs="Simplified Arabic"/>
          <w:b/>
          <w:bCs/>
          <w:sz w:val="24"/>
          <w:szCs w:val="24"/>
          <w:rtl/>
        </w:rPr>
      </w:pPr>
    </w:p>
    <w:p w14:paraId="73E5594F">
      <w:pPr>
        <w:bidi/>
        <w:spacing w:line="240" w:lineRule="auto"/>
        <w:rPr>
          <w:rFonts w:ascii="Simplified Arabic" w:hAnsi="Simplified Arabic" w:cs="Simplified Arabic"/>
          <w:b/>
          <w:bCs/>
          <w:sz w:val="24"/>
          <w:szCs w:val="24"/>
          <w:rtl/>
        </w:rPr>
      </w:pPr>
    </w:p>
    <w:p w14:paraId="247CCA9E">
      <w:pPr>
        <w:bidi/>
        <w:rPr>
          <w:rFonts w:ascii="Simplified Arabic" w:hAnsi="Simplified Arabic" w:cs="Simplified Arabic"/>
        </w:rPr>
      </w:pPr>
    </w:p>
    <w:p w14:paraId="5D534808">
      <w:pPr>
        <w:pStyle w:val="3"/>
        <w:bidi/>
        <w:rPr>
          <w:rFonts w:ascii="Simplified Arabic" w:hAnsi="Simplified Arabic" w:cs="Simplified Arabic"/>
          <w:color w:val="auto"/>
        </w:rPr>
      </w:pPr>
      <w:r>
        <w:rPr>
          <w:rFonts w:ascii="Simplified Arabic" w:hAnsi="Simplified Arabic" w:cs="Simplified Arabic"/>
          <w:color w:val="auto"/>
          <w:rtl/>
        </w:rPr>
        <w:t>المراجع العربية</w:t>
      </w:r>
    </w:p>
    <w:p w14:paraId="2CB946C7">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أبو الهيجا، م. (2025). تحديات التعليم العالي في قطاع غزة خلال الحرب وما بعدها</w:t>
      </w:r>
      <w:r>
        <w:rPr>
          <w:rFonts w:ascii="Simplified Arabic" w:hAnsi="Simplified Arabic" w:cs="Simplified Arabic"/>
        </w:rPr>
        <w:t xml:space="preserve">. </w:t>
      </w:r>
      <w:r>
        <w:rPr>
          <w:rStyle w:val="8"/>
          <w:rFonts w:ascii="Simplified Arabic" w:hAnsi="Simplified Arabic" w:cs="Simplified Arabic"/>
          <w:rtl/>
        </w:rPr>
        <w:t>مجلة جامعة الاستقلال للأبحاث، 10</w:t>
      </w:r>
      <w:r>
        <w:rPr>
          <w:rFonts w:ascii="Simplified Arabic" w:hAnsi="Simplified Arabic" w:cs="Simplified Arabic"/>
        </w:rPr>
        <w:t>(1)</w:t>
      </w:r>
      <w:r>
        <w:rPr>
          <w:rFonts w:ascii="Simplified Arabic" w:hAnsi="Simplified Arabic" w:cs="Simplified Arabic"/>
          <w:rtl/>
        </w:rPr>
        <w:t xml:space="preserve">، </w:t>
      </w:r>
      <w:r>
        <w:rPr>
          <w:rFonts w:ascii="Simplified Arabic" w:hAnsi="Simplified Arabic" w:cs="Simplified Arabic"/>
        </w:rPr>
        <w:t>211-234.</w:t>
      </w:r>
    </w:p>
    <w:p w14:paraId="149CD3FF">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أبو شرخ، ن. (2024). التأثيرات الهيكلية والمعرفية للحرب الإسرائيلية على التعليم الجامعي في غزة</w:t>
      </w:r>
      <w:r>
        <w:rPr>
          <w:rFonts w:ascii="Simplified Arabic" w:hAnsi="Simplified Arabic" w:cs="Simplified Arabic"/>
        </w:rPr>
        <w:t xml:space="preserve">. </w:t>
      </w:r>
      <w:r>
        <w:rPr>
          <w:rStyle w:val="8"/>
          <w:rFonts w:ascii="Simplified Arabic" w:hAnsi="Simplified Arabic" w:cs="Simplified Arabic"/>
          <w:rtl/>
        </w:rPr>
        <w:t>مجلة الدراسات الفلسطينية، 45</w:t>
      </w:r>
      <w:r>
        <w:rPr>
          <w:rFonts w:ascii="Simplified Arabic" w:hAnsi="Simplified Arabic" w:cs="Simplified Arabic"/>
        </w:rPr>
        <w:t>(3)</w:t>
      </w:r>
      <w:r>
        <w:rPr>
          <w:rFonts w:ascii="Simplified Arabic" w:hAnsi="Simplified Arabic" w:cs="Simplified Arabic"/>
          <w:rtl/>
        </w:rPr>
        <w:t xml:space="preserve">، </w:t>
      </w:r>
      <w:r>
        <w:rPr>
          <w:rFonts w:ascii="Simplified Arabic" w:hAnsi="Simplified Arabic" w:cs="Simplified Arabic"/>
        </w:rPr>
        <w:t>78-101.</w:t>
      </w:r>
    </w:p>
    <w:p w14:paraId="11115771">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أبو عوّاد، ل. (2013</w:t>
      </w:r>
      <w:r>
        <w:rPr>
          <w:rFonts w:ascii="Simplified Arabic" w:hAnsi="Simplified Arabic" w:cs="Simplified Arabic"/>
        </w:rPr>
        <w:t xml:space="preserve">). </w:t>
      </w:r>
      <w:r>
        <w:rPr>
          <w:rStyle w:val="8"/>
          <w:rFonts w:ascii="Simplified Arabic" w:hAnsi="Simplified Arabic" w:cs="Simplified Arabic"/>
          <w:rtl/>
        </w:rPr>
        <w:t>تعقيدات التعليم في السياق الفلسطيني المستعمَر</w:t>
      </w:r>
      <w:r>
        <w:rPr>
          <w:rFonts w:ascii="Simplified Arabic" w:hAnsi="Simplified Arabic" w:cs="Simplified Arabic"/>
        </w:rPr>
        <w:t xml:space="preserve">. </w:t>
      </w:r>
      <w:r>
        <w:rPr>
          <w:rFonts w:ascii="Simplified Arabic" w:hAnsi="Simplified Arabic" w:cs="Simplified Arabic"/>
          <w:rtl/>
        </w:rPr>
        <w:t>جامعة بيرزيت</w:t>
      </w:r>
      <w:r>
        <w:rPr>
          <w:rFonts w:ascii="Simplified Arabic" w:hAnsi="Simplified Arabic" w:cs="Simplified Arabic"/>
        </w:rPr>
        <w:t>.</w:t>
      </w:r>
    </w:p>
    <w:p w14:paraId="2B973615">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الغرباوي، ب. د. (2025). نموذج مقترح للحد من آثار الإبادة التعليمية على التعليم المدرسي في قطاع غزة</w:t>
      </w:r>
      <w:r>
        <w:rPr>
          <w:rFonts w:ascii="Simplified Arabic" w:hAnsi="Simplified Arabic" w:cs="Simplified Arabic"/>
        </w:rPr>
        <w:t xml:space="preserve">. </w:t>
      </w:r>
      <w:r>
        <w:rPr>
          <w:rStyle w:val="8"/>
          <w:rFonts w:ascii="Simplified Arabic" w:hAnsi="Simplified Arabic" w:cs="Simplified Arabic"/>
          <w:rtl/>
        </w:rPr>
        <w:t>مجلة العلوم التربوية والنفسية، 19</w:t>
      </w:r>
      <w:r>
        <w:rPr>
          <w:rFonts w:ascii="Simplified Arabic" w:hAnsi="Simplified Arabic" w:cs="Simplified Arabic"/>
        </w:rPr>
        <w:t>(2)</w:t>
      </w:r>
      <w:r>
        <w:rPr>
          <w:rFonts w:ascii="Simplified Arabic" w:hAnsi="Simplified Arabic" w:cs="Simplified Arabic"/>
          <w:rtl/>
        </w:rPr>
        <w:t xml:space="preserve">، </w:t>
      </w:r>
      <w:r>
        <w:rPr>
          <w:rFonts w:ascii="Simplified Arabic" w:hAnsi="Simplified Arabic" w:cs="Simplified Arabic"/>
        </w:rPr>
        <w:t>45-67.</w:t>
      </w:r>
    </w:p>
    <w:p w14:paraId="4017E135">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قدح، أ. ح. (2024</w:t>
      </w:r>
      <w:r>
        <w:rPr>
          <w:rFonts w:ascii="Simplified Arabic" w:hAnsi="Simplified Arabic" w:cs="Simplified Arabic"/>
        </w:rPr>
        <w:t xml:space="preserve">). </w:t>
      </w:r>
      <w:r>
        <w:rPr>
          <w:rStyle w:val="8"/>
          <w:rFonts w:ascii="Simplified Arabic" w:hAnsi="Simplified Arabic" w:cs="Simplified Arabic"/>
          <w:rtl/>
        </w:rPr>
        <w:t>أسرلة المناهج في القدس: تحدٍ وجودي</w:t>
      </w:r>
      <w:r>
        <w:rPr>
          <w:rFonts w:ascii="Simplified Arabic" w:hAnsi="Simplified Arabic" w:cs="Simplified Arabic"/>
        </w:rPr>
        <w:t xml:space="preserve">. </w:t>
      </w:r>
      <w:r>
        <w:rPr>
          <w:rFonts w:ascii="Simplified Arabic" w:hAnsi="Simplified Arabic" w:cs="Simplified Arabic"/>
          <w:rtl/>
        </w:rPr>
        <w:t>مركز الزيتونة للدراسات</w:t>
      </w:r>
      <w:r>
        <w:rPr>
          <w:rFonts w:ascii="Simplified Arabic" w:hAnsi="Simplified Arabic" w:cs="Simplified Arabic"/>
        </w:rPr>
        <w:t>.</w:t>
      </w:r>
    </w:p>
    <w:p w14:paraId="156B8C30">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صبحي، ز. ص. (2024). السياسات التعليمية الإسرائيلية في المدارس العربية في القدس وأثرها على الهوية الوطنية الفلسطينية</w:t>
      </w:r>
      <w:r>
        <w:rPr>
          <w:rFonts w:ascii="Simplified Arabic" w:hAnsi="Simplified Arabic" w:cs="Simplified Arabic"/>
        </w:rPr>
        <w:t xml:space="preserve">. </w:t>
      </w:r>
      <w:r>
        <w:rPr>
          <w:rStyle w:val="8"/>
          <w:rFonts w:ascii="Simplified Arabic" w:hAnsi="Simplified Arabic" w:cs="Simplified Arabic"/>
          <w:rtl/>
        </w:rPr>
        <w:t>المؤتمر التربوي الدولي السنوي للجمعية الأردنية للعلوم التربوية، عمان، الأردن</w:t>
      </w:r>
      <w:r>
        <w:rPr>
          <w:rFonts w:ascii="Simplified Arabic" w:hAnsi="Simplified Arabic" w:cs="Simplified Arabic"/>
        </w:rPr>
        <w:t>.</w:t>
      </w:r>
    </w:p>
    <w:p w14:paraId="07DF65DA">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صيام، م. أ. (2025</w:t>
      </w:r>
      <w:r>
        <w:rPr>
          <w:rFonts w:ascii="Simplified Arabic" w:hAnsi="Simplified Arabic" w:cs="Simplified Arabic"/>
        </w:rPr>
        <w:t xml:space="preserve">). </w:t>
      </w:r>
      <w:r>
        <w:rPr>
          <w:rStyle w:val="8"/>
          <w:rFonts w:ascii="Simplified Arabic" w:hAnsi="Simplified Arabic" w:cs="Simplified Arabic"/>
          <w:rtl/>
        </w:rPr>
        <w:t>تعليم الفلسطينيين بين الاحتلال والمقاومة</w:t>
      </w:r>
      <w:r>
        <w:rPr>
          <w:rFonts w:ascii="Simplified Arabic" w:hAnsi="Simplified Arabic" w:cs="Simplified Arabic"/>
        </w:rPr>
        <w:t xml:space="preserve">. </w:t>
      </w:r>
      <w:r>
        <w:rPr>
          <w:rFonts w:ascii="Simplified Arabic" w:hAnsi="Simplified Arabic" w:cs="Simplified Arabic"/>
          <w:rtl/>
        </w:rPr>
        <w:t>المركز العربي للأبحاث ودراسة السياسات</w:t>
      </w:r>
      <w:r>
        <w:rPr>
          <w:rFonts w:ascii="Simplified Arabic" w:hAnsi="Simplified Arabic" w:cs="Simplified Arabic"/>
        </w:rPr>
        <w:t>.</w:t>
      </w:r>
    </w:p>
    <w:p w14:paraId="0316C53E">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شعيب، ص. ر. (2025). تحديات التعليم الإلكتروني خلال العدوان الإسرائيلي على غزة</w:t>
      </w:r>
      <w:r>
        <w:rPr>
          <w:rFonts w:ascii="Simplified Arabic" w:hAnsi="Simplified Arabic" w:cs="Simplified Arabic"/>
        </w:rPr>
        <w:t xml:space="preserve">. </w:t>
      </w:r>
      <w:r>
        <w:rPr>
          <w:rStyle w:val="8"/>
          <w:rFonts w:ascii="Simplified Arabic" w:hAnsi="Simplified Arabic" w:cs="Simplified Arabic"/>
          <w:rtl/>
        </w:rPr>
        <w:t>مجلة الجامعة الإسلامية، 33</w:t>
      </w:r>
      <w:r>
        <w:rPr>
          <w:rFonts w:ascii="Simplified Arabic" w:hAnsi="Simplified Arabic" w:cs="Simplified Arabic"/>
        </w:rPr>
        <w:t>(2)</w:t>
      </w:r>
      <w:r>
        <w:rPr>
          <w:rFonts w:ascii="Simplified Arabic" w:hAnsi="Simplified Arabic" w:cs="Simplified Arabic"/>
          <w:rtl/>
        </w:rPr>
        <w:t xml:space="preserve">، </w:t>
      </w:r>
      <w:r>
        <w:rPr>
          <w:rFonts w:ascii="Simplified Arabic" w:hAnsi="Simplified Arabic" w:cs="Simplified Arabic"/>
        </w:rPr>
        <w:t>112-135.</w:t>
      </w:r>
    </w:p>
    <w:p w14:paraId="4350F49E">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يوسف، ص. (2025). استهداف المؤسسات التعليمية الفلسطينية بين عامَي 1967 و2023: دراسة وثائقية</w:t>
      </w:r>
      <w:r>
        <w:rPr>
          <w:rFonts w:ascii="Simplified Arabic" w:hAnsi="Simplified Arabic" w:cs="Simplified Arabic"/>
        </w:rPr>
        <w:t xml:space="preserve">. </w:t>
      </w:r>
      <w:r>
        <w:rPr>
          <w:rStyle w:val="8"/>
          <w:rFonts w:ascii="Simplified Arabic" w:hAnsi="Simplified Arabic" w:cs="Simplified Arabic"/>
          <w:rtl/>
        </w:rPr>
        <w:t>مجلة الدراسات التاريخية، 12</w:t>
      </w:r>
      <w:r>
        <w:rPr>
          <w:rFonts w:ascii="Simplified Arabic" w:hAnsi="Simplified Arabic" w:cs="Simplified Arabic"/>
        </w:rPr>
        <w:t>(4)</w:t>
      </w:r>
      <w:r>
        <w:rPr>
          <w:rFonts w:ascii="Simplified Arabic" w:hAnsi="Simplified Arabic" w:cs="Simplified Arabic"/>
          <w:rtl/>
        </w:rPr>
        <w:t xml:space="preserve">، </w:t>
      </w:r>
      <w:r>
        <w:rPr>
          <w:rFonts w:ascii="Simplified Arabic" w:hAnsi="Simplified Arabic" w:cs="Simplified Arabic"/>
        </w:rPr>
        <w:t>55-78.</w:t>
      </w:r>
    </w:p>
    <w:p w14:paraId="06489164">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مركز الميزان لحقوق الإنسان. (2024</w:t>
      </w:r>
      <w:r>
        <w:rPr>
          <w:rFonts w:ascii="Simplified Arabic" w:hAnsi="Simplified Arabic" w:cs="Simplified Arabic"/>
        </w:rPr>
        <w:t xml:space="preserve">). </w:t>
      </w:r>
      <w:r>
        <w:rPr>
          <w:rStyle w:val="8"/>
          <w:rFonts w:ascii="Simplified Arabic" w:hAnsi="Simplified Arabic" w:cs="Simplified Arabic"/>
          <w:rtl/>
        </w:rPr>
        <w:t>إبادة التعليم في قطاع غزة في سياق الإبادة الجماعية</w:t>
      </w:r>
      <w:r>
        <w:rPr>
          <w:rFonts w:ascii="Simplified Arabic" w:hAnsi="Simplified Arabic" w:cs="Simplified Arabic"/>
        </w:rPr>
        <w:t xml:space="preserve">. </w:t>
      </w:r>
      <w:r>
        <w:rPr>
          <w:rFonts w:ascii="Simplified Arabic" w:hAnsi="Simplified Arabic" w:cs="Simplified Arabic"/>
          <w:rtl/>
        </w:rPr>
        <w:t>غزة: مركز الميزان</w:t>
      </w:r>
      <w:r>
        <w:rPr>
          <w:rFonts w:ascii="Simplified Arabic" w:hAnsi="Simplified Arabic" w:cs="Simplified Arabic"/>
        </w:rPr>
        <w:t>.</w:t>
      </w:r>
    </w:p>
    <w:p w14:paraId="39884631">
      <w:pPr>
        <w:numPr>
          <w:ilvl w:val="0"/>
          <w:numId w:val="12"/>
        </w:numPr>
        <w:bidi/>
        <w:spacing w:before="100" w:beforeAutospacing="1" w:after="100" w:afterAutospacing="1" w:line="240" w:lineRule="auto"/>
        <w:rPr>
          <w:rFonts w:ascii="Simplified Arabic" w:hAnsi="Simplified Arabic" w:cs="Simplified Arabic"/>
        </w:rPr>
      </w:pPr>
      <w:r>
        <w:rPr>
          <w:rFonts w:ascii="Simplified Arabic" w:hAnsi="Simplified Arabic" w:cs="Simplified Arabic"/>
          <w:rtl/>
        </w:rPr>
        <w:t>مركز دراسات القدس، جامعة القدس. (2026). ملف خاص: المناعة في مواجهة إبادة التعليم</w:t>
      </w:r>
      <w:r>
        <w:rPr>
          <w:rFonts w:ascii="Simplified Arabic" w:hAnsi="Simplified Arabic" w:cs="Simplified Arabic"/>
        </w:rPr>
        <w:t xml:space="preserve">. </w:t>
      </w:r>
      <w:r>
        <w:rPr>
          <w:rStyle w:val="8"/>
          <w:rFonts w:ascii="Simplified Arabic" w:hAnsi="Simplified Arabic" w:cs="Simplified Arabic"/>
          <w:rtl/>
        </w:rPr>
        <w:t>مجلة المقدسية، 8</w:t>
      </w:r>
      <w:r>
        <w:rPr>
          <w:rFonts w:ascii="Simplified Arabic" w:hAnsi="Simplified Arabic" w:cs="Simplified Arabic"/>
        </w:rPr>
        <w:t>(1)</w:t>
      </w:r>
      <w:r>
        <w:rPr>
          <w:rFonts w:ascii="Simplified Arabic" w:hAnsi="Simplified Arabic" w:cs="Simplified Arabic"/>
          <w:rtl/>
        </w:rPr>
        <w:t xml:space="preserve">، </w:t>
      </w:r>
      <w:r>
        <w:rPr>
          <w:rFonts w:ascii="Simplified Arabic" w:hAnsi="Simplified Arabic" w:cs="Simplified Arabic"/>
        </w:rPr>
        <w:t>1-120.</w:t>
      </w:r>
    </w:p>
    <w:p w14:paraId="412BAC23">
      <w:pPr>
        <w:spacing w:after="0"/>
      </w:pPr>
    </w:p>
    <w:p w14:paraId="1BACC40D">
      <w:pPr>
        <w:pStyle w:val="3"/>
        <w:rPr>
          <w:color w:val="auto"/>
        </w:rPr>
      </w:pPr>
      <w:r>
        <w:rPr>
          <w:rFonts w:hint="cs"/>
          <w:color w:val="auto"/>
          <w:rtl/>
        </w:rPr>
        <w:t xml:space="preserve">المراجع الاجنبية </w:t>
      </w:r>
    </w:p>
    <w:p w14:paraId="64FBE58C">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Abu Lughod, L., &amp; Sa’di, A. H. (Eds.). (2007). </w:t>
      </w:r>
      <w:r>
        <w:rPr>
          <w:rStyle w:val="8"/>
          <w:rFonts w:asciiTheme="majorBidi" w:hAnsiTheme="majorBidi" w:cstheme="majorBidi"/>
        </w:rPr>
        <w:t>Nakba: Palestine, 1948, and the claims of memory</w:t>
      </w:r>
      <w:r>
        <w:rPr>
          <w:rFonts w:asciiTheme="majorBidi" w:hAnsiTheme="majorBidi" w:cstheme="majorBidi"/>
        </w:rPr>
        <w:t>. Columbia University Press.</w:t>
      </w:r>
    </w:p>
    <w:p w14:paraId="2F0F2392">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Bennoune, K. (2009). 'Terror/Torture' in the name of Islam: The totalitarian and imperialist politics of constructed panic. </w:t>
      </w:r>
      <w:r>
        <w:rPr>
          <w:rStyle w:val="8"/>
          <w:rFonts w:asciiTheme="majorBidi" w:hAnsiTheme="majorBidi" w:cstheme="majorBidi"/>
        </w:rPr>
        <w:t>UCLA Journal of International Law and Foreign Affairs, 14</w:t>
      </w:r>
      <w:r>
        <w:rPr>
          <w:rFonts w:asciiTheme="majorBidi" w:hAnsiTheme="majorBidi" w:cstheme="majorBidi"/>
        </w:rPr>
        <w:t>, 145-206.</w:t>
      </w:r>
    </w:p>
    <w:p w14:paraId="2C479255">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Denzin, N. K., &amp; Lincoln, Y. S. (2018). </w:t>
      </w:r>
      <w:r>
        <w:rPr>
          <w:rStyle w:val="8"/>
          <w:rFonts w:asciiTheme="majorBidi" w:hAnsiTheme="majorBidi" w:cstheme="majorBidi"/>
        </w:rPr>
        <w:t>The SAGE handbook of qualitative research</w:t>
      </w:r>
      <w:r>
        <w:rPr>
          <w:rFonts w:asciiTheme="majorBidi" w:hAnsiTheme="majorBidi" w:cstheme="majorBidi"/>
        </w:rPr>
        <w:t xml:space="preserve"> (5th ed.). SAGE Publications.</w:t>
      </w:r>
    </w:p>
    <w:p w14:paraId="613F26D1">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Fairclough, N. (1995). </w:t>
      </w:r>
      <w:r>
        <w:rPr>
          <w:rStyle w:val="8"/>
          <w:rFonts w:asciiTheme="majorBidi" w:hAnsiTheme="majorBidi" w:cstheme="majorBidi"/>
        </w:rPr>
        <w:t>Critical discourse analysis: The critical study of language</w:t>
      </w:r>
      <w:r>
        <w:rPr>
          <w:rFonts w:asciiTheme="majorBidi" w:hAnsiTheme="majorBidi" w:cstheme="majorBidi"/>
        </w:rPr>
        <w:t>. Longman.</w:t>
      </w:r>
    </w:p>
    <w:p w14:paraId="443E8150">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Fricker, M. (2007). </w:t>
      </w:r>
      <w:r>
        <w:rPr>
          <w:rStyle w:val="8"/>
          <w:rFonts w:asciiTheme="majorBidi" w:hAnsiTheme="majorBidi" w:cstheme="majorBidi"/>
        </w:rPr>
        <w:t>Epistemic injustice: Power and the ethics of knowing</w:t>
      </w:r>
      <w:r>
        <w:rPr>
          <w:rFonts w:asciiTheme="majorBidi" w:hAnsiTheme="majorBidi" w:cstheme="majorBidi"/>
        </w:rPr>
        <w:t>. Oxford University Press.</w:t>
      </w:r>
    </w:p>
    <w:p w14:paraId="051FD61B">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Giddens, A. (1991). </w:t>
      </w:r>
      <w:r>
        <w:rPr>
          <w:rStyle w:val="8"/>
          <w:rFonts w:asciiTheme="majorBidi" w:hAnsiTheme="majorBidi" w:cstheme="majorBidi"/>
        </w:rPr>
        <w:t>Modernity and self-identity: Self and society in the late modern age</w:t>
      </w:r>
      <w:r>
        <w:rPr>
          <w:rFonts w:asciiTheme="majorBidi" w:hAnsiTheme="majorBidi" w:cstheme="majorBidi"/>
        </w:rPr>
        <w:t>. Stanford University Press.</w:t>
      </w:r>
    </w:p>
    <w:p w14:paraId="1E3A783A">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Gready, P., &amp; Robins, S. (2014). From transitional to transformative justice: A new agenda. </w:t>
      </w:r>
      <w:r>
        <w:rPr>
          <w:rStyle w:val="8"/>
          <w:rFonts w:asciiTheme="majorBidi" w:hAnsiTheme="majorBidi" w:cstheme="majorBidi"/>
        </w:rPr>
        <w:t>International Journal of Transitional Justice, 8</w:t>
      </w:r>
      <w:r>
        <w:rPr>
          <w:rFonts w:asciiTheme="majorBidi" w:hAnsiTheme="majorBidi" w:cstheme="majorBidi"/>
        </w:rPr>
        <w:t>(3), 339-361.</w:t>
      </w:r>
    </w:p>
    <w:p w14:paraId="04741285">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Guest, G., Bunce, A., &amp; Johnson, L. (2006). How many interviews are enough? An experiment with data saturation and variability. </w:t>
      </w:r>
      <w:r>
        <w:rPr>
          <w:rStyle w:val="8"/>
          <w:rFonts w:asciiTheme="majorBidi" w:hAnsiTheme="majorBidi" w:cstheme="majorBidi"/>
        </w:rPr>
        <w:t>Field Methods, 18</w:t>
      </w:r>
      <w:r>
        <w:rPr>
          <w:rFonts w:asciiTheme="majorBidi" w:hAnsiTheme="majorBidi" w:cstheme="majorBidi"/>
        </w:rPr>
        <w:t>(1), 59-82.</w:t>
      </w:r>
    </w:p>
    <w:p w14:paraId="21484E9F">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Halbwachs, M. (1992). </w:t>
      </w:r>
      <w:r>
        <w:rPr>
          <w:rStyle w:val="8"/>
          <w:rFonts w:asciiTheme="majorBidi" w:hAnsiTheme="majorBidi" w:cstheme="majorBidi"/>
        </w:rPr>
        <w:t>On collective memory</w:t>
      </w:r>
      <w:r>
        <w:rPr>
          <w:rFonts w:asciiTheme="majorBidi" w:hAnsiTheme="majorBidi" w:cstheme="majorBidi"/>
        </w:rPr>
        <w:t xml:space="preserve"> (L. A. Coser, Trans.). University of Chicago Press. (Original work published 1950)</w:t>
      </w:r>
    </w:p>
    <w:p w14:paraId="3AAE5354">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Hamamra, B., Mahamid, F., &amp; Mayaleh, A. (2025). Educide in Gaza: The systematic destruction of education during genocide. </w:t>
      </w:r>
      <w:r>
        <w:rPr>
          <w:rStyle w:val="8"/>
          <w:rFonts w:asciiTheme="majorBidi" w:hAnsiTheme="majorBidi" w:cstheme="majorBidi"/>
        </w:rPr>
        <w:t>SAGE Journals</w:t>
      </w:r>
      <w:r>
        <w:rPr>
          <w:rFonts w:asciiTheme="majorBidi" w:hAnsiTheme="majorBidi" w:cstheme="majorBidi"/>
        </w:rPr>
        <w:t>.</w:t>
      </w:r>
    </w:p>
    <w:p w14:paraId="32B995D9">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Hanafi, S., &amp; Tabar, L. (2005). </w:t>
      </w:r>
      <w:r>
        <w:rPr>
          <w:rStyle w:val="8"/>
          <w:rFonts w:asciiTheme="majorBidi" w:hAnsiTheme="majorBidi" w:cstheme="majorBidi"/>
        </w:rPr>
        <w:t>The emergence of a Palestinian globalized elite: Donors, international organizations and local NGOs</w:t>
      </w:r>
      <w:r>
        <w:rPr>
          <w:rFonts w:asciiTheme="majorBidi" w:hAnsiTheme="majorBidi" w:cstheme="majorBidi"/>
        </w:rPr>
        <w:t>. Institute for Jerusalem Studies.</w:t>
      </w:r>
    </w:p>
    <w:p w14:paraId="0761EC1B">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Hawari, Y. (2020). Theorizing sumud as an anti-colonial framework in Palestine. </w:t>
      </w:r>
      <w:r>
        <w:rPr>
          <w:rStyle w:val="8"/>
          <w:rFonts w:asciiTheme="majorBidi" w:hAnsiTheme="majorBidi" w:cstheme="majorBidi"/>
        </w:rPr>
        <w:t>Interventions: International Journal of Postcolonial Studies, 22</w:t>
      </w:r>
      <w:r>
        <w:rPr>
          <w:rFonts w:asciiTheme="majorBidi" w:hAnsiTheme="majorBidi" w:cstheme="majorBidi"/>
        </w:rPr>
        <w:t>(1), 1-17.</w:t>
      </w:r>
    </w:p>
    <w:p w14:paraId="0435C9D9">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Heidegger, M. (1962). </w:t>
      </w:r>
      <w:r>
        <w:rPr>
          <w:rStyle w:val="8"/>
          <w:rFonts w:asciiTheme="majorBidi" w:hAnsiTheme="majorBidi" w:cstheme="majorBidi"/>
        </w:rPr>
        <w:t>Being and time</w:t>
      </w:r>
      <w:r>
        <w:rPr>
          <w:rFonts w:asciiTheme="majorBidi" w:hAnsiTheme="majorBidi" w:cstheme="majorBidi"/>
        </w:rPr>
        <w:t xml:space="preserve"> (J. Macquarrie &amp; E. Robinson, Trans.). Harper &amp; Row. (Original work published 1927)</w:t>
      </w:r>
    </w:p>
    <w:p w14:paraId="3005236F">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Iriqat, D., &amp; Alousi, A. (2025). Educide amid conflict: The struggle of the Palestinian education system. </w:t>
      </w:r>
      <w:r>
        <w:rPr>
          <w:rStyle w:val="8"/>
          <w:rFonts w:asciiTheme="majorBidi" w:hAnsiTheme="majorBidi" w:cstheme="majorBidi"/>
        </w:rPr>
        <w:t>Quality Education for All, 8</w:t>
      </w:r>
      <w:r>
        <w:rPr>
          <w:rFonts w:asciiTheme="majorBidi" w:hAnsiTheme="majorBidi" w:cstheme="majorBidi"/>
        </w:rPr>
        <w:t>(1), 81-99.</w:t>
      </w:r>
    </w:p>
    <w:p w14:paraId="1D07A7FE">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Lemkin, R. (1944). </w:t>
      </w:r>
      <w:r>
        <w:rPr>
          <w:rStyle w:val="8"/>
          <w:rFonts w:asciiTheme="majorBidi" w:hAnsiTheme="majorBidi" w:cstheme="majorBidi"/>
        </w:rPr>
        <w:t>Axis rule in occupied Europe: Laws of occupation, analysis of government, proposals for redress</w:t>
      </w:r>
      <w:r>
        <w:rPr>
          <w:rFonts w:asciiTheme="majorBidi" w:hAnsiTheme="majorBidi" w:cstheme="majorBidi"/>
        </w:rPr>
        <w:t>. Carnegie Endowment for International Peace.</w:t>
      </w:r>
    </w:p>
    <w:p w14:paraId="5FC211BF">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Mignolo, W. (2009). Epistemic disobedience, independent thought and decolonial freedom. </w:t>
      </w:r>
      <w:r>
        <w:rPr>
          <w:rStyle w:val="8"/>
          <w:rFonts w:asciiTheme="majorBidi" w:hAnsiTheme="majorBidi" w:cstheme="majorBidi"/>
        </w:rPr>
        <w:t>Theory, Culture &amp; Society, 26</w:t>
      </w:r>
      <w:r>
        <w:rPr>
          <w:rFonts w:asciiTheme="majorBidi" w:hAnsiTheme="majorBidi" w:cstheme="majorBidi"/>
        </w:rPr>
        <w:t>(7-8), 159-181.</w:t>
      </w:r>
    </w:p>
    <w:p w14:paraId="187525BD">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Mignolo, W. (2011). </w:t>
      </w:r>
      <w:r>
        <w:rPr>
          <w:rStyle w:val="8"/>
          <w:rFonts w:asciiTheme="majorBidi" w:hAnsiTheme="majorBidi" w:cstheme="majorBidi"/>
        </w:rPr>
        <w:t>The darker side of Western modernity: Global futures, decolonial options</w:t>
      </w:r>
      <w:r>
        <w:rPr>
          <w:rFonts w:asciiTheme="majorBidi" w:hAnsiTheme="majorBidi" w:cstheme="majorBidi"/>
        </w:rPr>
        <w:t>. Duke University Press.</w:t>
      </w:r>
    </w:p>
    <w:p w14:paraId="2FAF2966">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Mitzen, J. (2006). Ontological security in world politics: State identity and the security dilemma. </w:t>
      </w:r>
      <w:r>
        <w:rPr>
          <w:rStyle w:val="8"/>
          <w:rFonts w:asciiTheme="majorBidi" w:hAnsiTheme="majorBidi" w:cstheme="majorBidi"/>
        </w:rPr>
        <w:t>European Journal of International Relations, 12</w:t>
      </w:r>
      <w:r>
        <w:rPr>
          <w:rFonts w:asciiTheme="majorBidi" w:hAnsiTheme="majorBidi" w:cstheme="majorBidi"/>
        </w:rPr>
        <w:t>(3), 341-370.</w:t>
      </w:r>
    </w:p>
    <w:p w14:paraId="0F3660AE">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Nabulsi, K. (2016). Scholasticide in Palestine. </w:t>
      </w:r>
      <w:r>
        <w:rPr>
          <w:rStyle w:val="8"/>
          <w:rFonts w:asciiTheme="majorBidi" w:hAnsiTheme="majorBidi" w:cstheme="majorBidi"/>
        </w:rPr>
        <w:t>Middle East Report, 46</w:t>
      </w:r>
      <w:r>
        <w:rPr>
          <w:rFonts w:asciiTheme="majorBidi" w:hAnsiTheme="majorBidi" w:cstheme="majorBidi"/>
        </w:rPr>
        <w:t>(281), 38-41.</w:t>
      </w:r>
    </w:p>
    <w:p w14:paraId="40DD2FA7">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Nixon, R. (2011). </w:t>
      </w:r>
      <w:r>
        <w:rPr>
          <w:rStyle w:val="8"/>
          <w:rFonts w:asciiTheme="majorBidi" w:hAnsiTheme="majorBidi" w:cstheme="majorBidi"/>
        </w:rPr>
        <w:t>Slow violence and the environmentalism of the poor</w:t>
      </w:r>
      <w:r>
        <w:rPr>
          <w:rFonts w:asciiTheme="majorBidi" w:hAnsiTheme="majorBidi" w:cstheme="majorBidi"/>
        </w:rPr>
        <w:t>. Harvard University Press.</w:t>
      </w:r>
    </w:p>
    <w:p w14:paraId="1EFBD3BD">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Quijano, A. (2000). Coloniality of power, Eurocentrism, and Latin America. </w:t>
      </w:r>
      <w:r>
        <w:rPr>
          <w:rStyle w:val="8"/>
          <w:rFonts w:asciiTheme="majorBidi" w:hAnsiTheme="majorBidi" w:cstheme="majorBidi"/>
        </w:rPr>
        <w:t>Nepantla: Views from South, 1</w:t>
      </w:r>
      <w:r>
        <w:rPr>
          <w:rFonts w:asciiTheme="majorBidi" w:hAnsiTheme="majorBidi" w:cstheme="majorBidi"/>
        </w:rPr>
        <w:t>(3), 533-580.</w:t>
      </w:r>
    </w:p>
    <w:p w14:paraId="4E5B05FB">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Smith, L. T. (2012). </w:t>
      </w:r>
      <w:r>
        <w:rPr>
          <w:rStyle w:val="8"/>
          <w:rFonts w:asciiTheme="majorBidi" w:hAnsiTheme="majorBidi" w:cstheme="majorBidi"/>
        </w:rPr>
        <w:t>Decolonizing methodologies: Research and indigenous peoples</w:t>
      </w:r>
      <w:r>
        <w:rPr>
          <w:rFonts w:asciiTheme="majorBidi" w:hAnsiTheme="majorBidi" w:cstheme="majorBidi"/>
        </w:rPr>
        <w:t xml:space="preserve"> (2nd ed.). Zed Books.</w:t>
      </w:r>
    </w:p>
    <w:p w14:paraId="71026874">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Spivak, G. C. (1988). Can the subaltern speak? In C. Nelson &amp; L. Grossberg (Eds.), </w:t>
      </w:r>
      <w:r>
        <w:rPr>
          <w:rStyle w:val="8"/>
          <w:rFonts w:asciiTheme="majorBidi" w:hAnsiTheme="majorBidi" w:cstheme="majorBidi"/>
        </w:rPr>
        <w:t>Marxism and the interpretation of culture</w:t>
      </w:r>
      <w:r>
        <w:rPr>
          <w:rFonts w:asciiTheme="majorBidi" w:hAnsiTheme="majorBidi" w:cstheme="majorBidi"/>
        </w:rPr>
        <w:t xml:space="preserve"> (pp. 271-313). University of Illinois Press.</w:t>
      </w:r>
    </w:p>
    <w:p w14:paraId="0701B32C">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Steele, B. (2008). </w:t>
      </w:r>
      <w:r>
        <w:rPr>
          <w:rStyle w:val="8"/>
          <w:rFonts w:asciiTheme="majorBidi" w:hAnsiTheme="majorBidi" w:cstheme="majorBidi"/>
        </w:rPr>
        <w:t>Ontological security in international relations: Self-identity and the IR state</w:t>
      </w:r>
      <w:r>
        <w:rPr>
          <w:rFonts w:asciiTheme="majorBidi" w:hAnsiTheme="majorBidi" w:cstheme="majorBidi"/>
        </w:rPr>
        <w:t>. Routledge.</w:t>
      </w:r>
    </w:p>
    <w:p w14:paraId="47245F75">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Veracini, L. (2013). 'Settler Colonialism': Career of a concept. </w:t>
      </w:r>
      <w:r>
        <w:rPr>
          <w:rStyle w:val="8"/>
          <w:rFonts w:asciiTheme="majorBidi" w:hAnsiTheme="majorBidi" w:cstheme="majorBidi"/>
        </w:rPr>
        <w:t>Journal of Imperial and Commonwealth History, 41</w:t>
      </w:r>
      <w:r>
        <w:rPr>
          <w:rFonts w:asciiTheme="majorBidi" w:hAnsiTheme="majorBidi" w:cstheme="majorBidi"/>
        </w:rPr>
        <w:t>(2), 313-333.</w:t>
      </w:r>
    </w:p>
    <w:p w14:paraId="1B6404E5">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Wolfe, P. (2006). Settler colonialism and the elimination of the native. </w:t>
      </w:r>
      <w:r>
        <w:rPr>
          <w:rStyle w:val="8"/>
          <w:rFonts w:asciiTheme="majorBidi" w:hAnsiTheme="majorBidi" w:cstheme="majorBidi"/>
        </w:rPr>
        <w:t>Journal of Genocide Research, 8</w:t>
      </w:r>
      <w:r>
        <w:rPr>
          <w:rFonts w:asciiTheme="majorBidi" w:hAnsiTheme="majorBidi" w:cstheme="majorBidi"/>
        </w:rPr>
        <w:t>(4), 387-409.</w:t>
      </w:r>
    </w:p>
    <w:p w14:paraId="434E5B22">
      <w:pPr>
        <w:numPr>
          <w:ilvl w:val="0"/>
          <w:numId w:val="13"/>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Yin, R. K. (2018). </w:t>
      </w:r>
      <w:r>
        <w:rPr>
          <w:rStyle w:val="8"/>
          <w:rFonts w:asciiTheme="majorBidi" w:hAnsiTheme="majorBidi" w:cstheme="majorBidi"/>
        </w:rPr>
        <w:t>Case study research and applications: Design and methods</w:t>
      </w:r>
      <w:r>
        <w:rPr>
          <w:rFonts w:asciiTheme="majorBidi" w:hAnsiTheme="majorBidi" w:cstheme="majorBidi"/>
        </w:rPr>
        <w:t xml:space="preserve"> (6th ed.). SAGE Publications.</w:t>
      </w:r>
    </w:p>
    <w:p w14:paraId="621A2515">
      <w:pPr>
        <w:spacing w:after="0"/>
        <w:rPr>
          <w:rFonts w:asciiTheme="majorBidi" w:hAnsiTheme="majorBidi" w:cstheme="majorBidi"/>
        </w:rPr>
      </w:pPr>
    </w:p>
    <w:p w14:paraId="15675409">
      <w:pPr>
        <w:pStyle w:val="3"/>
        <w:rPr>
          <w:rFonts w:asciiTheme="majorBidi" w:hAnsiTheme="majorBidi"/>
          <w:color w:val="auto"/>
        </w:rPr>
      </w:pPr>
      <w:r>
        <w:rPr>
          <w:rFonts w:asciiTheme="majorBidi" w:hAnsiTheme="majorBidi"/>
          <w:color w:val="auto"/>
          <w:rtl/>
        </w:rPr>
        <w:t>التقارير والوثائق الدولية والمحلية</w:t>
      </w:r>
    </w:p>
    <w:p w14:paraId="1E53B772">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ACRI (Association for Civil Rights in Israel). (2016). </w:t>
      </w:r>
      <w:r>
        <w:rPr>
          <w:rStyle w:val="8"/>
          <w:rFonts w:asciiTheme="majorBidi" w:hAnsiTheme="majorBidi" w:cstheme="majorBidi"/>
        </w:rPr>
        <w:t>The right to education in East Jerusalem</w:t>
      </w:r>
      <w:r>
        <w:rPr>
          <w:rFonts w:asciiTheme="majorBidi" w:hAnsiTheme="majorBidi" w:cstheme="majorBidi"/>
        </w:rPr>
        <w:t xml:space="preserve">. Retrieved from </w:t>
      </w:r>
      <w:r>
        <w:fldChar w:fldCharType="begin"/>
      </w:r>
      <w:r>
        <w:instrText xml:space="preserve"> HYPERLINK "https://www.acri.org.il" </w:instrText>
      </w:r>
      <w:r>
        <w:fldChar w:fldCharType="separate"/>
      </w:r>
      <w:r>
        <w:rPr>
          <w:rStyle w:val="9"/>
          <w:rFonts w:asciiTheme="majorBidi" w:hAnsiTheme="majorBidi" w:cstheme="majorBidi"/>
        </w:rPr>
        <w:t>https://www.acri.org.il</w:t>
      </w:r>
      <w:r>
        <w:rPr>
          <w:rStyle w:val="9"/>
          <w:rFonts w:asciiTheme="majorBidi" w:hAnsiTheme="majorBidi" w:cstheme="majorBidi"/>
        </w:rPr>
        <w:fldChar w:fldCharType="end"/>
      </w:r>
    </w:p>
    <w:p w14:paraId="1B97FF6B">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ACRI. (2019). </w:t>
      </w:r>
      <w:r>
        <w:rPr>
          <w:rStyle w:val="8"/>
          <w:rFonts w:asciiTheme="majorBidi" w:hAnsiTheme="majorBidi" w:cstheme="majorBidi"/>
        </w:rPr>
        <w:t>Education in East Jerusalem: Discrimination and neglect</w:t>
      </w:r>
      <w:r>
        <w:rPr>
          <w:rFonts w:asciiTheme="majorBidi" w:hAnsiTheme="majorBidi" w:cstheme="majorBidi"/>
        </w:rPr>
        <w:t xml:space="preserve">. Retrieved from </w:t>
      </w:r>
      <w:r>
        <w:fldChar w:fldCharType="begin"/>
      </w:r>
      <w:r>
        <w:instrText xml:space="preserve"> HYPERLINK "https://www.acri.org.il" </w:instrText>
      </w:r>
      <w:r>
        <w:fldChar w:fldCharType="separate"/>
      </w:r>
      <w:r>
        <w:rPr>
          <w:rStyle w:val="9"/>
          <w:rFonts w:asciiTheme="majorBidi" w:hAnsiTheme="majorBidi" w:cstheme="majorBidi"/>
        </w:rPr>
        <w:t>https://www.acri.org.il</w:t>
      </w:r>
      <w:r>
        <w:rPr>
          <w:rStyle w:val="9"/>
          <w:rFonts w:asciiTheme="majorBidi" w:hAnsiTheme="majorBidi" w:cstheme="majorBidi"/>
        </w:rPr>
        <w:fldChar w:fldCharType="end"/>
      </w:r>
    </w:p>
    <w:p w14:paraId="28F8CD55">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ACRI. (2024). </w:t>
      </w:r>
      <w:r>
        <w:rPr>
          <w:rStyle w:val="8"/>
          <w:rFonts w:asciiTheme="majorBidi" w:hAnsiTheme="majorBidi" w:cstheme="majorBidi"/>
        </w:rPr>
        <w:t>Forced curriculum changes in Jerusalem schools</w:t>
      </w:r>
      <w:r>
        <w:rPr>
          <w:rFonts w:asciiTheme="majorBidi" w:hAnsiTheme="majorBidi" w:cstheme="majorBidi"/>
        </w:rPr>
        <w:t xml:space="preserve">. Retrieved from </w:t>
      </w:r>
      <w:r>
        <w:fldChar w:fldCharType="begin"/>
      </w:r>
      <w:r>
        <w:instrText xml:space="preserve"> HYPERLINK "https://www.acri.org.il" </w:instrText>
      </w:r>
      <w:r>
        <w:fldChar w:fldCharType="separate"/>
      </w:r>
      <w:r>
        <w:rPr>
          <w:rStyle w:val="9"/>
          <w:rFonts w:asciiTheme="majorBidi" w:hAnsiTheme="majorBidi" w:cstheme="majorBidi"/>
        </w:rPr>
        <w:t>https://www.acri.org.il</w:t>
      </w:r>
      <w:r>
        <w:rPr>
          <w:rStyle w:val="9"/>
          <w:rFonts w:asciiTheme="majorBidi" w:hAnsiTheme="majorBidi" w:cstheme="majorBidi"/>
        </w:rPr>
        <w:fldChar w:fldCharType="end"/>
      </w:r>
    </w:p>
    <w:p w14:paraId="72D61918">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B’Tselem. (2022). </w:t>
      </w:r>
      <w:r>
        <w:rPr>
          <w:rStyle w:val="8"/>
          <w:rFonts w:asciiTheme="majorBidi" w:hAnsiTheme="majorBidi" w:cstheme="majorBidi"/>
        </w:rPr>
        <w:t>The Israeli education system in East Jerusalem: Discrimination and coercion</w:t>
      </w:r>
      <w:r>
        <w:rPr>
          <w:rFonts w:asciiTheme="majorBidi" w:hAnsiTheme="majorBidi" w:cstheme="majorBidi"/>
        </w:rPr>
        <w:t xml:space="preserve">. Retrieved from </w:t>
      </w:r>
      <w:r>
        <w:fldChar w:fldCharType="begin"/>
      </w:r>
      <w:r>
        <w:instrText xml:space="preserve"> HYPERLINK "https://www.btselem.org" </w:instrText>
      </w:r>
      <w:r>
        <w:fldChar w:fldCharType="separate"/>
      </w:r>
      <w:r>
        <w:rPr>
          <w:rStyle w:val="9"/>
          <w:rFonts w:asciiTheme="majorBidi" w:hAnsiTheme="majorBidi" w:cstheme="majorBidi"/>
        </w:rPr>
        <w:t>https://www.btselem.org</w:t>
      </w:r>
      <w:r>
        <w:rPr>
          <w:rStyle w:val="9"/>
          <w:rFonts w:asciiTheme="majorBidi" w:hAnsiTheme="majorBidi" w:cstheme="majorBidi"/>
        </w:rPr>
        <w:fldChar w:fldCharType="end"/>
      </w:r>
    </w:p>
    <w:p w14:paraId="5EAE0B78">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Euro-Med Human Rights Monitor. (2024). </w:t>
      </w:r>
      <w:r>
        <w:rPr>
          <w:rStyle w:val="8"/>
          <w:rFonts w:asciiTheme="majorBidi" w:hAnsiTheme="majorBidi" w:cstheme="majorBidi"/>
        </w:rPr>
        <w:t>Gaza education sector: Systematic destruction</w:t>
      </w:r>
      <w:r>
        <w:rPr>
          <w:rFonts w:asciiTheme="majorBidi" w:hAnsiTheme="majorBidi" w:cstheme="majorBidi"/>
        </w:rPr>
        <w:t xml:space="preserve">. Retrieved from </w:t>
      </w:r>
      <w:r>
        <w:fldChar w:fldCharType="begin"/>
      </w:r>
      <w:r>
        <w:instrText xml:space="preserve"> HYPERLINK "https://euromedmonitor.org" </w:instrText>
      </w:r>
      <w:r>
        <w:fldChar w:fldCharType="separate"/>
      </w:r>
      <w:r>
        <w:rPr>
          <w:rStyle w:val="9"/>
          <w:rFonts w:asciiTheme="majorBidi" w:hAnsiTheme="majorBidi" w:cstheme="majorBidi"/>
        </w:rPr>
        <w:t>https://euromedmonitor.org</w:t>
      </w:r>
      <w:r>
        <w:rPr>
          <w:rStyle w:val="9"/>
          <w:rFonts w:asciiTheme="majorBidi" w:hAnsiTheme="majorBidi" w:cstheme="majorBidi"/>
        </w:rPr>
        <w:fldChar w:fldCharType="end"/>
      </w:r>
    </w:p>
    <w:p w14:paraId="49197118">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Human Rights Watch. (2024). </w:t>
      </w:r>
      <w:r>
        <w:rPr>
          <w:rStyle w:val="8"/>
          <w:rFonts w:asciiTheme="majorBidi" w:hAnsiTheme="majorBidi" w:cstheme="majorBidi"/>
        </w:rPr>
        <w:t>Gaza: Attacks on schools and universities</w:t>
      </w:r>
      <w:r>
        <w:rPr>
          <w:rFonts w:asciiTheme="majorBidi" w:hAnsiTheme="majorBidi" w:cstheme="majorBidi"/>
        </w:rPr>
        <w:t xml:space="preserve">. Retrieved from </w:t>
      </w:r>
      <w:r>
        <w:fldChar w:fldCharType="begin"/>
      </w:r>
      <w:r>
        <w:instrText xml:space="preserve"> HYPERLINK "https://www.hrw.org" </w:instrText>
      </w:r>
      <w:r>
        <w:fldChar w:fldCharType="separate"/>
      </w:r>
      <w:r>
        <w:rPr>
          <w:rStyle w:val="9"/>
          <w:rFonts w:asciiTheme="majorBidi" w:hAnsiTheme="majorBidi" w:cstheme="majorBidi"/>
        </w:rPr>
        <w:t>https://www.hrw.org</w:t>
      </w:r>
      <w:r>
        <w:rPr>
          <w:rStyle w:val="9"/>
          <w:rFonts w:asciiTheme="majorBidi" w:hAnsiTheme="majorBidi" w:cstheme="majorBidi"/>
        </w:rPr>
        <w:fldChar w:fldCharType="end"/>
      </w:r>
    </w:p>
    <w:p w14:paraId="29E04F86">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OCHA (United Nations Office for the Coordination of Humanitarian Affairs). (2024). </w:t>
      </w:r>
      <w:r>
        <w:rPr>
          <w:rStyle w:val="8"/>
          <w:rFonts w:asciiTheme="majorBidi" w:hAnsiTheme="majorBidi" w:cstheme="majorBidi"/>
        </w:rPr>
        <w:t>Gaza Strip: Education sector damage assessment</w:t>
      </w:r>
      <w:r>
        <w:rPr>
          <w:rFonts w:asciiTheme="majorBidi" w:hAnsiTheme="majorBidi" w:cstheme="majorBidi"/>
        </w:rPr>
        <w:t xml:space="preserve">. Retrieved from </w:t>
      </w:r>
      <w:r>
        <w:fldChar w:fldCharType="begin"/>
      </w:r>
      <w:r>
        <w:instrText xml:space="preserve"> HYPERLINK "https://www.ochaopt.org" </w:instrText>
      </w:r>
      <w:r>
        <w:fldChar w:fldCharType="separate"/>
      </w:r>
      <w:r>
        <w:rPr>
          <w:rStyle w:val="9"/>
          <w:rFonts w:asciiTheme="majorBidi" w:hAnsiTheme="majorBidi" w:cstheme="majorBidi"/>
        </w:rPr>
        <w:t>https://www.ochaopt.org</w:t>
      </w:r>
      <w:r>
        <w:rPr>
          <w:rStyle w:val="9"/>
          <w:rFonts w:asciiTheme="majorBidi" w:hAnsiTheme="majorBidi" w:cstheme="majorBidi"/>
        </w:rPr>
        <w:fldChar w:fldCharType="end"/>
      </w:r>
    </w:p>
    <w:p w14:paraId="45CD38CE">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Scholars at Risk. (2024). </w:t>
      </w:r>
      <w:r>
        <w:rPr>
          <w:rStyle w:val="8"/>
          <w:rFonts w:asciiTheme="majorBidi" w:hAnsiTheme="majorBidi" w:cstheme="majorBidi"/>
        </w:rPr>
        <w:t>Monitoring attacks on scholars in Palestine 2023-2024</w:t>
      </w:r>
      <w:r>
        <w:rPr>
          <w:rFonts w:asciiTheme="majorBidi" w:hAnsiTheme="majorBidi" w:cstheme="majorBidi"/>
        </w:rPr>
        <w:t xml:space="preserve">. Retrieved from </w:t>
      </w:r>
      <w:r>
        <w:fldChar w:fldCharType="begin"/>
      </w:r>
      <w:r>
        <w:instrText xml:space="preserve"> HYPERLINK "https://www.scholarsatrisk.org" </w:instrText>
      </w:r>
      <w:r>
        <w:fldChar w:fldCharType="separate"/>
      </w:r>
      <w:r>
        <w:rPr>
          <w:rStyle w:val="9"/>
          <w:rFonts w:asciiTheme="majorBidi" w:hAnsiTheme="majorBidi" w:cstheme="majorBidi"/>
        </w:rPr>
        <w:t>https://www.scholarsatrisk.org</w:t>
      </w:r>
      <w:r>
        <w:rPr>
          <w:rStyle w:val="9"/>
          <w:rFonts w:asciiTheme="majorBidi" w:hAnsiTheme="majorBidi" w:cstheme="majorBidi"/>
        </w:rPr>
        <w:fldChar w:fldCharType="end"/>
      </w:r>
    </w:p>
    <w:p w14:paraId="551DCD68">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UNESCO. (2024). </w:t>
      </w:r>
      <w:r>
        <w:rPr>
          <w:rStyle w:val="8"/>
          <w:rFonts w:asciiTheme="majorBidi" w:hAnsiTheme="majorBidi" w:cstheme="majorBidi"/>
        </w:rPr>
        <w:t>Education under attack 2024: Palestine chapter</w:t>
      </w:r>
      <w:r>
        <w:rPr>
          <w:rFonts w:asciiTheme="majorBidi" w:hAnsiTheme="majorBidi" w:cstheme="majorBidi"/>
        </w:rPr>
        <w:t xml:space="preserve">. Retrieved from </w:t>
      </w:r>
      <w:r>
        <w:fldChar w:fldCharType="begin"/>
      </w:r>
      <w:r>
        <w:instrText xml:space="preserve"> HYPERLINK "https://en.unesco.org" </w:instrText>
      </w:r>
      <w:r>
        <w:fldChar w:fldCharType="separate"/>
      </w:r>
      <w:r>
        <w:rPr>
          <w:rStyle w:val="9"/>
          <w:rFonts w:asciiTheme="majorBidi" w:hAnsiTheme="majorBidi" w:cstheme="majorBidi"/>
        </w:rPr>
        <w:t>https://en.unesco.org</w:t>
      </w:r>
      <w:r>
        <w:rPr>
          <w:rStyle w:val="9"/>
          <w:rFonts w:asciiTheme="majorBidi" w:hAnsiTheme="majorBidi" w:cstheme="majorBidi"/>
        </w:rPr>
        <w:fldChar w:fldCharType="end"/>
      </w:r>
    </w:p>
    <w:p w14:paraId="15300577">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UNESCO. (2025). </w:t>
      </w:r>
      <w:r>
        <w:rPr>
          <w:rStyle w:val="8"/>
          <w:rFonts w:asciiTheme="majorBidi" w:hAnsiTheme="majorBidi" w:cstheme="majorBidi"/>
        </w:rPr>
        <w:t>Gaza’s universities face unprecedented devastation</w:t>
      </w:r>
      <w:r>
        <w:rPr>
          <w:rFonts w:asciiTheme="majorBidi" w:hAnsiTheme="majorBidi" w:cstheme="majorBidi"/>
        </w:rPr>
        <w:t xml:space="preserve">. Retrieved from </w:t>
      </w:r>
      <w:r>
        <w:fldChar w:fldCharType="begin"/>
      </w:r>
      <w:r>
        <w:instrText xml:space="preserve"> HYPERLINK "https://en.unesco.org" </w:instrText>
      </w:r>
      <w:r>
        <w:fldChar w:fldCharType="separate"/>
      </w:r>
      <w:r>
        <w:rPr>
          <w:rStyle w:val="9"/>
          <w:rFonts w:asciiTheme="majorBidi" w:hAnsiTheme="majorBidi" w:cstheme="majorBidi"/>
        </w:rPr>
        <w:t>https://en.unesco.org</w:t>
      </w:r>
      <w:r>
        <w:rPr>
          <w:rStyle w:val="9"/>
          <w:rFonts w:asciiTheme="majorBidi" w:hAnsiTheme="majorBidi" w:cstheme="majorBidi"/>
        </w:rPr>
        <w:fldChar w:fldCharType="end"/>
      </w:r>
    </w:p>
    <w:p w14:paraId="716D96C4">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UNESCO &amp; UNRWA. (2025). </w:t>
      </w:r>
      <w:r>
        <w:rPr>
          <w:rStyle w:val="8"/>
          <w:rFonts w:asciiTheme="majorBidi" w:hAnsiTheme="majorBidi" w:cstheme="majorBidi"/>
        </w:rPr>
        <w:t>Scholasticide in Gaza: Educational infrastructure destruction</w:t>
      </w:r>
      <w:r>
        <w:rPr>
          <w:rFonts w:asciiTheme="majorBidi" w:hAnsiTheme="majorBidi" w:cstheme="majorBidi"/>
        </w:rPr>
        <w:t xml:space="preserve">. Retrieved from </w:t>
      </w:r>
      <w:r>
        <w:fldChar w:fldCharType="begin"/>
      </w:r>
      <w:r>
        <w:instrText xml:space="preserve"> HYPERLINK "https://www.unrwa.org" </w:instrText>
      </w:r>
      <w:r>
        <w:fldChar w:fldCharType="separate"/>
      </w:r>
      <w:r>
        <w:rPr>
          <w:rStyle w:val="9"/>
          <w:rFonts w:asciiTheme="majorBidi" w:hAnsiTheme="majorBidi" w:cstheme="majorBidi"/>
        </w:rPr>
        <w:t>https://www.unrwa.org</w:t>
      </w:r>
      <w:r>
        <w:rPr>
          <w:rStyle w:val="9"/>
          <w:rFonts w:asciiTheme="majorBidi" w:hAnsiTheme="majorBidi" w:cstheme="majorBidi"/>
        </w:rPr>
        <w:fldChar w:fldCharType="end"/>
      </w:r>
    </w:p>
    <w:p w14:paraId="4219E14C">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UNRWA. (2024). </w:t>
      </w:r>
      <w:r>
        <w:rPr>
          <w:rStyle w:val="8"/>
          <w:rFonts w:asciiTheme="majorBidi" w:hAnsiTheme="majorBidi" w:cstheme="majorBidi"/>
        </w:rPr>
        <w:t>Gaza education crisis report: Out-of-school children statistics</w:t>
      </w:r>
      <w:r>
        <w:rPr>
          <w:rFonts w:asciiTheme="majorBidi" w:hAnsiTheme="majorBidi" w:cstheme="majorBidi"/>
        </w:rPr>
        <w:t xml:space="preserve">. Retrieved from </w:t>
      </w:r>
      <w:r>
        <w:fldChar w:fldCharType="begin"/>
      </w:r>
      <w:r>
        <w:instrText xml:space="preserve"> HYPERLINK "https://www.unrwa.org" </w:instrText>
      </w:r>
      <w:r>
        <w:fldChar w:fldCharType="separate"/>
      </w:r>
      <w:r>
        <w:rPr>
          <w:rStyle w:val="9"/>
          <w:rFonts w:asciiTheme="majorBidi" w:hAnsiTheme="majorBidi" w:cstheme="majorBidi"/>
        </w:rPr>
        <w:t>https://www.unrwa.org</w:t>
      </w:r>
      <w:r>
        <w:rPr>
          <w:rStyle w:val="9"/>
          <w:rFonts w:asciiTheme="majorBidi" w:hAnsiTheme="majorBidi" w:cstheme="majorBidi"/>
        </w:rPr>
        <w:fldChar w:fldCharType="end"/>
      </w:r>
    </w:p>
    <w:p w14:paraId="5BA35D6E">
      <w:pPr>
        <w:numPr>
          <w:ilvl w:val="0"/>
          <w:numId w:val="14"/>
        </w:numPr>
        <w:spacing w:before="100" w:beforeAutospacing="1" w:after="100" w:afterAutospacing="1" w:line="240" w:lineRule="auto"/>
        <w:rPr>
          <w:rFonts w:asciiTheme="majorBidi" w:hAnsiTheme="majorBidi" w:cstheme="majorBidi"/>
        </w:rPr>
      </w:pPr>
      <w:r>
        <w:rPr>
          <w:rFonts w:asciiTheme="majorBidi" w:hAnsiTheme="majorBidi" w:cstheme="majorBidi"/>
        </w:rPr>
        <w:t xml:space="preserve">WAFA (Palestine News Agency). (2024). </w:t>
      </w:r>
      <w:r>
        <w:rPr>
          <w:rStyle w:val="8"/>
          <w:rFonts w:asciiTheme="majorBidi" w:hAnsiTheme="majorBidi" w:cstheme="majorBidi"/>
        </w:rPr>
        <w:t>Jerusalem schools resist curriculum changes</w:t>
      </w:r>
      <w:r>
        <w:rPr>
          <w:rFonts w:asciiTheme="majorBidi" w:hAnsiTheme="majorBidi" w:cstheme="majorBidi"/>
        </w:rPr>
        <w:t xml:space="preserve">. Retrieved from </w:t>
      </w:r>
      <w:r>
        <w:fldChar w:fldCharType="begin"/>
      </w:r>
      <w:r>
        <w:instrText xml:space="preserve"> HYPERLINK "https://english.wafa.ps" </w:instrText>
      </w:r>
      <w:r>
        <w:fldChar w:fldCharType="separate"/>
      </w:r>
      <w:r>
        <w:rPr>
          <w:rStyle w:val="9"/>
          <w:rFonts w:asciiTheme="majorBidi" w:hAnsiTheme="majorBidi" w:cstheme="majorBidi"/>
        </w:rPr>
        <w:t>https://english.wafa.ps</w:t>
      </w:r>
      <w:r>
        <w:rPr>
          <w:rStyle w:val="9"/>
          <w:rFonts w:asciiTheme="majorBidi" w:hAnsiTheme="majorBidi" w:cstheme="majorBidi"/>
        </w:rPr>
        <w:fldChar w:fldCharType="end"/>
      </w:r>
    </w:p>
    <w:p w14:paraId="779D7154">
      <w:pPr>
        <w:bidi/>
        <w:spacing w:line="240" w:lineRule="auto"/>
        <w:jc w:val="right"/>
        <w:rPr>
          <w:rFonts w:asciiTheme="majorBidi" w:hAnsiTheme="majorBidi" w:cstheme="majorBidi"/>
          <w:sz w:val="24"/>
          <w:szCs w:val="24"/>
        </w:rPr>
      </w:pPr>
      <w:r>
        <w:rPr>
          <w:rFonts w:asciiTheme="majorBidi" w:hAnsiTheme="majorBidi" w:cstheme="majorBidi"/>
          <w:sz w:val="24"/>
          <w:szCs w:val="24"/>
          <w:rtl/>
        </w:rPr>
        <w:t>.</w:t>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implified Arabic">
    <w:panose1 w:val="02020603050405020304"/>
    <w:charset w:val="00"/>
    <w:family w:val="roman"/>
    <w:pitch w:val="default"/>
    <w:sig w:usb0="00002003" w:usb1="80000000" w:usb2="00000008" w:usb3="00000000" w:csb0="00000041" w:csb1="2008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265E4"/>
    <w:multiLevelType w:val="multilevel"/>
    <w:tmpl w:val="1A5265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EB00FDF"/>
    <w:multiLevelType w:val="multilevel"/>
    <w:tmpl w:val="1EB00FD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412704D"/>
    <w:multiLevelType w:val="multilevel"/>
    <w:tmpl w:val="241270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6F832BE"/>
    <w:multiLevelType w:val="multilevel"/>
    <w:tmpl w:val="26F832B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8832ED4"/>
    <w:multiLevelType w:val="multilevel"/>
    <w:tmpl w:val="38832E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A980094"/>
    <w:multiLevelType w:val="multilevel"/>
    <w:tmpl w:val="4A9800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E154827"/>
    <w:multiLevelType w:val="multilevel"/>
    <w:tmpl w:val="4E15482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5585F11"/>
    <w:multiLevelType w:val="multilevel"/>
    <w:tmpl w:val="55585F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C992544"/>
    <w:multiLevelType w:val="multilevel"/>
    <w:tmpl w:val="5C99254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64000D1B"/>
    <w:multiLevelType w:val="multilevel"/>
    <w:tmpl w:val="64000D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69924541"/>
    <w:multiLevelType w:val="multilevel"/>
    <w:tmpl w:val="699245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75F57D84"/>
    <w:multiLevelType w:val="multilevel"/>
    <w:tmpl w:val="75F57D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7CC865D2"/>
    <w:multiLevelType w:val="multilevel"/>
    <w:tmpl w:val="7CC865D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7E3E6839"/>
    <w:multiLevelType w:val="multilevel"/>
    <w:tmpl w:val="7E3E68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6"/>
  </w:num>
  <w:num w:numId="3">
    <w:abstractNumId w:val="1"/>
  </w:num>
  <w:num w:numId="4">
    <w:abstractNumId w:val="12"/>
  </w:num>
  <w:num w:numId="5">
    <w:abstractNumId w:val="0"/>
  </w:num>
  <w:num w:numId="6">
    <w:abstractNumId w:val="5"/>
  </w:num>
  <w:num w:numId="7">
    <w:abstractNumId w:val="8"/>
  </w:num>
  <w:num w:numId="8">
    <w:abstractNumId w:val="2"/>
  </w:num>
  <w:num w:numId="9">
    <w:abstractNumId w:val="11"/>
  </w:num>
  <w:num w:numId="10">
    <w:abstractNumId w:val="4"/>
  </w:num>
  <w:num w:numId="11">
    <w:abstractNumId w:val="9"/>
  </w:num>
  <w:num w:numId="12">
    <w:abstractNumId w:val="3"/>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EE"/>
    <w:rsid w:val="0002180A"/>
    <w:rsid w:val="00027BB5"/>
    <w:rsid w:val="000928FE"/>
    <w:rsid w:val="00111358"/>
    <w:rsid w:val="001118D4"/>
    <w:rsid w:val="001305E6"/>
    <w:rsid w:val="00185AC2"/>
    <w:rsid w:val="00187A1A"/>
    <w:rsid w:val="001D3CAB"/>
    <w:rsid w:val="001F6050"/>
    <w:rsid w:val="002A7190"/>
    <w:rsid w:val="00326E9E"/>
    <w:rsid w:val="00331AD3"/>
    <w:rsid w:val="00350932"/>
    <w:rsid w:val="0036414D"/>
    <w:rsid w:val="0037512A"/>
    <w:rsid w:val="003B6496"/>
    <w:rsid w:val="003C5C35"/>
    <w:rsid w:val="003E65B2"/>
    <w:rsid w:val="004113F0"/>
    <w:rsid w:val="004B2BCE"/>
    <w:rsid w:val="004E1FD2"/>
    <w:rsid w:val="00573CD6"/>
    <w:rsid w:val="006670EF"/>
    <w:rsid w:val="00695559"/>
    <w:rsid w:val="006C7E6B"/>
    <w:rsid w:val="007A354A"/>
    <w:rsid w:val="00802C1E"/>
    <w:rsid w:val="00820D8A"/>
    <w:rsid w:val="00895E67"/>
    <w:rsid w:val="008A6A6F"/>
    <w:rsid w:val="008C0827"/>
    <w:rsid w:val="00927419"/>
    <w:rsid w:val="00940707"/>
    <w:rsid w:val="009833F7"/>
    <w:rsid w:val="009D71EE"/>
    <w:rsid w:val="00A16313"/>
    <w:rsid w:val="00A20861"/>
    <w:rsid w:val="00A65879"/>
    <w:rsid w:val="00A830B5"/>
    <w:rsid w:val="00AB61F4"/>
    <w:rsid w:val="00AC437A"/>
    <w:rsid w:val="00B12932"/>
    <w:rsid w:val="00B133CE"/>
    <w:rsid w:val="00B539F6"/>
    <w:rsid w:val="00B917A4"/>
    <w:rsid w:val="00BB7AB4"/>
    <w:rsid w:val="00BC74EF"/>
    <w:rsid w:val="00C32118"/>
    <w:rsid w:val="00C74EFD"/>
    <w:rsid w:val="00D27F84"/>
    <w:rsid w:val="00D639E0"/>
    <w:rsid w:val="00D71606"/>
    <w:rsid w:val="00DE4A01"/>
    <w:rsid w:val="00E31E39"/>
    <w:rsid w:val="00EA0334"/>
    <w:rsid w:val="00F223BF"/>
    <w:rsid w:val="00F31CB8"/>
    <w:rsid w:val="00F609EE"/>
    <w:rsid w:val="00F722DD"/>
    <w:rsid w:val="00F73735"/>
    <w:rsid w:val="00F86738"/>
    <w:rsid w:val="00FC3C68"/>
    <w:rsid w:val="055E4FDC"/>
    <w:rsid w:val="15BD5242"/>
    <w:rsid w:val="29686D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link w:val="14"/>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
    <w:semiHidden/>
    <w:unhideWhenUsed/>
    <w:uiPriority w:val="99"/>
    <w:pPr>
      <w:spacing w:after="0" w:line="240" w:lineRule="auto"/>
    </w:pPr>
    <w:rPr>
      <w:rFonts w:ascii="Tahoma" w:hAnsi="Tahoma" w:cs="Tahoma"/>
      <w:sz w:val="16"/>
      <w:szCs w:val="16"/>
    </w:rPr>
  </w:style>
  <w:style w:type="character" w:styleId="8">
    <w:name w:val="Emphasis"/>
    <w:basedOn w:val="5"/>
    <w:qFormat/>
    <w:uiPriority w:val="20"/>
    <w:rPr>
      <w:i/>
      <w:iCs/>
    </w:rPr>
  </w:style>
  <w:style w:type="character" w:styleId="9">
    <w:name w:val="Hyperlink"/>
    <w:basedOn w:val="5"/>
    <w:semiHidden/>
    <w:unhideWhenUsed/>
    <w:uiPriority w:val="99"/>
    <w:rPr>
      <w:color w:val="0000FF"/>
      <w:u w:val="single"/>
    </w:r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5"/>
    <w:qFormat/>
    <w:uiPriority w:val="22"/>
    <w:rPr>
      <w:b/>
      <w:bCs/>
    </w:rPr>
  </w:style>
  <w:style w:type="paragraph" w:styleId="12">
    <w:name w:val="Subtitle"/>
    <w:basedOn w:val="1"/>
    <w:next w:val="1"/>
    <w:link w:val="20"/>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13">
    <w:name w:val="Light Shading Accent 3"/>
    <w:basedOn w:val="6"/>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14">
    <w:name w:val="عنوان 3 Char"/>
    <w:basedOn w:val="5"/>
    <w:link w:val="4"/>
    <w:uiPriority w:val="9"/>
    <w:rPr>
      <w:rFonts w:ascii="Times New Roman" w:hAnsi="Times New Roman" w:eastAsia="Times New Roman" w:cs="Times New Roman"/>
      <w:b/>
      <w:bCs/>
      <w:sz w:val="27"/>
      <w:szCs w:val="27"/>
    </w:rPr>
  </w:style>
  <w:style w:type="character" w:customStyle="1" w:styleId="15">
    <w:name w:val="عنوان 1 Char"/>
    <w:basedOn w:val="5"/>
    <w:link w:val="2"/>
    <w:uiPriority w:val="9"/>
    <w:rPr>
      <w:rFonts w:asciiTheme="majorHAnsi" w:hAnsiTheme="majorHAnsi" w:eastAsiaTheme="majorEastAsia" w:cstheme="majorBidi"/>
      <w:b/>
      <w:bCs/>
      <w:color w:val="376092" w:themeColor="accent1" w:themeShade="BF"/>
      <w:sz w:val="28"/>
      <w:szCs w:val="28"/>
    </w:rPr>
  </w:style>
  <w:style w:type="character" w:customStyle="1" w:styleId="16">
    <w:name w:val="عنوان 2 Char"/>
    <w:basedOn w:val="5"/>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7">
    <w:name w:val="نص في بالون Char"/>
    <w:basedOn w:val="5"/>
    <w:link w:val="7"/>
    <w:semiHidden/>
    <w:uiPriority w:val="99"/>
    <w:rPr>
      <w:rFonts w:ascii="Tahoma" w:hAnsi="Tahoma" w:cs="Tahoma"/>
      <w:sz w:val="16"/>
      <w:szCs w:val="16"/>
    </w:rPr>
  </w:style>
  <w:style w:type="paragraph" w:styleId="18">
    <w:name w:val="List Paragraph"/>
    <w:basedOn w:val="1"/>
    <w:qFormat/>
    <w:uiPriority w:val="34"/>
    <w:pPr>
      <w:ind w:left="720"/>
      <w:contextualSpacing/>
    </w:pPr>
  </w:style>
  <w:style w:type="paragraph" w:customStyle="1" w:styleId="19">
    <w:name w:val="عادي1"/>
    <w:uiPriority w:val="0"/>
    <w:pPr>
      <w:spacing w:before="100" w:beforeAutospacing="1" w:after="200" w:line="273" w:lineRule="auto"/>
    </w:pPr>
    <w:rPr>
      <w:rFonts w:ascii="Calibri" w:hAnsi="Calibri" w:eastAsia="Times New Roman" w:cs="Arial"/>
      <w:sz w:val="22"/>
      <w:szCs w:val="22"/>
      <w:lang w:val="en-US" w:eastAsia="en-US" w:bidi="ar-SA"/>
    </w:rPr>
  </w:style>
  <w:style w:type="character" w:customStyle="1" w:styleId="20">
    <w:name w:val="عنوان فرعي Char"/>
    <w:basedOn w:val="5"/>
    <w:link w:val="1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9305</Words>
  <Characters>53045</Characters>
  <Lines>442</Lines>
  <Paragraphs>124</Paragraphs>
  <TotalTime>32</TotalTime>
  <ScaleCrop>false</ScaleCrop>
  <LinksUpToDate>false</LinksUpToDate>
  <CharactersWithSpaces>62226</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2026-05-11T16:11:00Z</dcterms:created>
  <dc:creator>ضحى ناجح 22</dc:creator>
  <cp:lastModifiedBy>ibrahim okh</cp:lastModifiedBy>
  <dcterms:modified xsi:type="dcterms:W3CDTF">2026-05-11T21:00:12Z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9F6CBC367EE2411DB8E645B3A7778525_13</vt:lpwstr>
  </property>
</Properties>
</file>