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Default Extension="ICO" ContentType="image/.ico"/>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2f9a12ed56c04698" Type="http://schemas.microsoft.com/office/2007/relationships/ui/extensibility" Target="customUI/customUI14.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67" w:rsidRPr="00944DDE" w:rsidRDefault="00482767" w:rsidP="00203F25">
      <w:pPr>
        <w:pStyle w:val="papertitle"/>
        <w:rPr>
          <w:rFonts w:eastAsia="Calibri"/>
          <w:color w:val="FF0000"/>
          <w:rtl/>
        </w:rPr>
      </w:pPr>
      <w:r w:rsidRPr="00944DDE">
        <w:rPr>
          <w:rFonts w:eastAsia="Calibri"/>
        </w:rPr>
        <w:t xml:space="preserve">IMPACT OF INFORMATION AND COMMUNICATION TECHNOLOGY (ICT) ON LABOR PRODUCTIVITY OF PALESTINIAN </w:t>
      </w:r>
      <w:r w:rsidR="00F55538" w:rsidRPr="00944DDE">
        <w:rPr>
          <w:rFonts w:eastAsia="Calibri"/>
        </w:rPr>
        <w:t>MANUFACTURING</w:t>
      </w:r>
      <w:r w:rsidRPr="00944DDE">
        <w:rPr>
          <w:rFonts w:eastAsia="Calibri"/>
        </w:rPr>
        <w:t xml:space="preserve"> </w:t>
      </w:r>
      <w:r w:rsidR="00203F25">
        <w:rPr>
          <w:rFonts w:eastAsia="Calibri"/>
        </w:rPr>
        <w:t>FIRMS</w:t>
      </w:r>
    </w:p>
    <w:p w:rsidR="00482767" w:rsidRPr="00944DDE" w:rsidRDefault="00482767" w:rsidP="004337ED">
      <w:pPr>
        <w:spacing w:line="220" w:lineRule="atLeast"/>
        <w:jc w:val="center"/>
        <w:rPr>
          <w:lang w:val="en-GB"/>
        </w:rPr>
      </w:pPr>
      <w:r w:rsidRPr="00944DDE">
        <w:t xml:space="preserve">Islam </w:t>
      </w:r>
      <w:proofErr w:type="spellStart"/>
      <w:r w:rsidRPr="00944DDE">
        <w:t>Abdeljawad</w:t>
      </w:r>
      <w:proofErr w:type="spellEnd"/>
      <w:r w:rsidR="00A82A5B">
        <w:t>*</w:t>
      </w:r>
      <w:r w:rsidRPr="00944DDE">
        <w:rPr>
          <w:vertAlign w:val="superscript"/>
          <w:lang w:val="en-GB"/>
        </w:rPr>
        <w:t xml:space="preserve"> [</w:t>
      </w:r>
      <w:r w:rsidR="004337ED" w:rsidRPr="004337ED">
        <w:rPr>
          <w:vertAlign w:val="superscript"/>
          <w:lang w:val="en-GB"/>
        </w:rPr>
        <w:t>https://orcid.org/0000-0003-2625-698X</w:t>
      </w:r>
      <w:r w:rsidRPr="00944DDE">
        <w:rPr>
          <w:vertAlign w:val="superscript"/>
          <w:lang w:val="en-GB"/>
        </w:rPr>
        <w:t>]</w:t>
      </w:r>
      <w:r w:rsidRPr="00944DDE">
        <w:rPr>
          <w:lang w:val="en-GB"/>
        </w:rPr>
        <w:t xml:space="preserve">, </w:t>
      </w:r>
      <w:proofErr w:type="spellStart"/>
      <w:r w:rsidRPr="00944DDE">
        <w:t>Abdulnaser</w:t>
      </w:r>
      <w:proofErr w:type="spellEnd"/>
      <w:r w:rsidRPr="00944DDE">
        <w:t xml:space="preserve"> I. Nour</w:t>
      </w:r>
      <w:r w:rsidRPr="00944DDE">
        <w:rPr>
          <w:lang w:val="en-GB"/>
        </w:rPr>
        <w:t xml:space="preserve"> </w:t>
      </w:r>
      <w:r w:rsidR="004337ED" w:rsidRPr="004337ED">
        <w:rPr>
          <w:vertAlign w:val="superscript"/>
          <w:lang w:val="en-GB"/>
        </w:rPr>
        <w:t>[https</w:t>
      </w:r>
      <w:r w:rsidR="004337ED" w:rsidRPr="004337ED">
        <w:rPr>
          <w:vertAlign w:val="superscript"/>
        </w:rPr>
        <w:t>://orcid.org/0000-</w:t>
      </w:r>
      <w:r w:rsidR="004337ED" w:rsidRPr="004337ED">
        <w:rPr>
          <w:vertAlign w:val="superscript"/>
          <w:rtl/>
          <w:lang w:val="en-GB"/>
        </w:rPr>
        <w:t>0001-8525-9799</w:t>
      </w:r>
      <w:r w:rsidRPr="00944DDE">
        <w:rPr>
          <w:vertAlign w:val="superscript"/>
          <w:lang w:val="en-GB"/>
        </w:rPr>
        <w:t>],</w:t>
      </w:r>
    </w:p>
    <w:p w:rsidR="00482767" w:rsidRPr="00944DDE" w:rsidRDefault="00482767" w:rsidP="00482767">
      <w:pPr>
        <w:pStyle w:val="author"/>
        <w:rPr>
          <w:lang w:val="en-GB"/>
        </w:rPr>
      </w:pPr>
      <w:proofErr w:type="spellStart"/>
      <w:r w:rsidRPr="00944DDE">
        <w:rPr>
          <w:lang w:val="en-GB"/>
        </w:rPr>
        <w:t>Assi</w:t>
      </w:r>
      <w:proofErr w:type="spellEnd"/>
      <w:r w:rsidRPr="00944DDE">
        <w:rPr>
          <w:lang w:val="en-GB"/>
        </w:rPr>
        <w:t xml:space="preserve"> </w:t>
      </w:r>
      <w:proofErr w:type="spellStart"/>
      <w:r w:rsidRPr="00944DDE">
        <w:rPr>
          <w:lang w:val="en-GB"/>
        </w:rPr>
        <w:t>Sobhi</w:t>
      </w:r>
      <w:proofErr w:type="spellEnd"/>
      <w:r w:rsidRPr="00944DDE">
        <w:rPr>
          <w:lang w:val="en-GB"/>
        </w:rPr>
        <w:t xml:space="preserve"> </w:t>
      </w:r>
      <w:proofErr w:type="spellStart"/>
      <w:r w:rsidRPr="00944DDE">
        <w:rPr>
          <w:lang w:val="en-GB"/>
        </w:rPr>
        <w:t>Utt</w:t>
      </w:r>
      <w:proofErr w:type="spellEnd"/>
    </w:p>
    <w:p w:rsidR="00482767" w:rsidRPr="00944DDE" w:rsidRDefault="00482767" w:rsidP="00482767">
      <w:pPr>
        <w:spacing w:line="220" w:lineRule="atLeast"/>
        <w:contextualSpacing/>
        <w:jc w:val="center"/>
        <w:rPr>
          <w:rFonts w:ascii="Courier" w:hAnsi="Courier"/>
          <w:noProof/>
        </w:rPr>
      </w:pPr>
      <w:r w:rsidRPr="00944DDE">
        <w:rPr>
          <w:sz w:val="18"/>
        </w:rPr>
        <w:t>Faculty of Economics and Social Sciences, An-</w:t>
      </w:r>
      <w:proofErr w:type="spellStart"/>
      <w:r w:rsidRPr="00944DDE">
        <w:rPr>
          <w:sz w:val="18"/>
        </w:rPr>
        <w:t>Najah</w:t>
      </w:r>
      <w:proofErr w:type="spellEnd"/>
      <w:r w:rsidRPr="00944DDE">
        <w:rPr>
          <w:sz w:val="18"/>
        </w:rPr>
        <w:t xml:space="preserve"> National University, Nablus, Palestine</w:t>
      </w:r>
      <w:r w:rsidRPr="00944DDE">
        <w:rPr>
          <w:sz w:val="18"/>
          <w:lang w:val="en-GB"/>
        </w:rPr>
        <w:br/>
      </w:r>
      <w:r w:rsidR="00A82A5B">
        <w:t>*</w:t>
      </w:r>
      <w:bookmarkStart w:id="0" w:name="_GoBack"/>
      <w:bookmarkEnd w:id="0"/>
      <w:r w:rsidR="00943A6D" w:rsidRPr="00943A6D">
        <w:fldChar w:fldCharType="begin"/>
      </w:r>
      <w:r w:rsidR="00637FEF">
        <w:instrText xml:space="preserve"> HYPERLINK "mailto:islamjawad@najah.edu" </w:instrText>
      </w:r>
      <w:r w:rsidR="00943A6D" w:rsidRPr="00943A6D">
        <w:fldChar w:fldCharType="separate"/>
      </w:r>
      <w:r w:rsidRPr="00944DDE">
        <w:rPr>
          <w:rStyle w:val="e-mail"/>
        </w:rPr>
        <w:t>islamjawad@najah.edu</w:t>
      </w:r>
      <w:r w:rsidR="00943A6D">
        <w:rPr>
          <w:rStyle w:val="e-mail"/>
        </w:rPr>
        <w:fldChar w:fldCharType="end"/>
      </w:r>
    </w:p>
    <w:p w:rsidR="00482767" w:rsidRDefault="00482767" w:rsidP="00EA5AC8">
      <w:pPr>
        <w:pStyle w:val="abstract"/>
        <w:ind w:firstLine="0"/>
        <w:rPr>
          <w:rFonts w:eastAsia="Calibri"/>
        </w:rPr>
      </w:pPr>
      <w:r w:rsidRPr="001F5F22">
        <w:rPr>
          <w:rFonts w:eastAsia="Calibri"/>
          <w:b/>
        </w:rPr>
        <w:t>Abstract.</w:t>
      </w:r>
      <w:r w:rsidRPr="00944DDE">
        <w:rPr>
          <w:rFonts w:eastAsia="Calibri"/>
        </w:rPr>
        <w:t xml:space="preserve"> </w:t>
      </w:r>
      <w:r w:rsidR="001F5F22" w:rsidRPr="001F5F22">
        <w:rPr>
          <w:rFonts w:eastAsia="Calibri"/>
        </w:rPr>
        <w:t xml:space="preserve">This study sought to determine the impact of ICT on the labor productivity of Palestinian businesses. This research incorporated </w:t>
      </w:r>
      <w:proofErr w:type="gramStart"/>
      <w:r w:rsidR="001F5F22" w:rsidRPr="001F5F22">
        <w:rPr>
          <w:rFonts w:eastAsia="Calibri"/>
        </w:rPr>
        <w:t>all of the</w:t>
      </w:r>
      <w:proofErr w:type="gramEnd"/>
      <w:r w:rsidR="001F5F22" w:rsidRPr="001F5F22">
        <w:rPr>
          <w:rFonts w:eastAsia="Calibri"/>
        </w:rPr>
        <w:t xml:space="preserve"> i</w:t>
      </w:r>
      <w:r w:rsidR="001F5F22" w:rsidRPr="001F5F22">
        <w:rPr>
          <w:rFonts w:eastAsia="Calibri"/>
        </w:rPr>
        <w:t>n</w:t>
      </w:r>
      <w:r w:rsidR="001F5F22" w:rsidRPr="001F5F22">
        <w:rPr>
          <w:rFonts w:eastAsia="Calibri"/>
        </w:rPr>
        <w:t xml:space="preserve">dustrial sector data from </w:t>
      </w:r>
      <w:r w:rsidR="00BC379D">
        <w:rPr>
          <w:rFonts w:eastAsia="Calibri"/>
        </w:rPr>
        <w:t>Palestine</w:t>
      </w:r>
      <w:r w:rsidR="001F5F22" w:rsidRPr="001F5F22">
        <w:rPr>
          <w:rFonts w:eastAsia="Calibri"/>
        </w:rPr>
        <w:t xml:space="preserve"> published between 2013 and 2018, for a total of 9,972 observations. Using ICT indicators such as the availability of computer consulting services and computer software</w:t>
      </w:r>
      <w:r w:rsidR="00EA5AC8">
        <w:rPr>
          <w:rFonts w:eastAsia="Calibri"/>
        </w:rPr>
        <w:t xml:space="preserve"> as independent variables</w:t>
      </w:r>
      <w:r w:rsidR="001F5F22" w:rsidRPr="001F5F22">
        <w:rPr>
          <w:rFonts w:eastAsia="Calibri"/>
        </w:rPr>
        <w:t xml:space="preserve">, the </w:t>
      </w:r>
      <w:r w:rsidR="00EA5AC8">
        <w:rPr>
          <w:rFonts w:eastAsia="Calibri"/>
        </w:rPr>
        <w:t>vari</w:t>
      </w:r>
      <w:r w:rsidR="00EA5AC8">
        <w:rPr>
          <w:rFonts w:eastAsia="Calibri"/>
        </w:rPr>
        <w:t>a</w:t>
      </w:r>
      <w:r w:rsidR="00EA5AC8">
        <w:rPr>
          <w:rFonts w:eastAsia="Calibri"/>
        </w:rPr>
        <w:t>bility of labor productivity</w:t>
      </w:r>
      <w:r w:rsidR="001F5F22" w:rsidRPr="001F5F22">
        <w:rPr>
          <w:rFonts w:eastAsia="Calibri"/>
        </w:rPr>
        <w:t xml:space="preserve"> were </w:t>
      </w:r>
      <w:r w:rsidR="00EA5AC8">
        <w:rPr>
          <w:rFonts w:eastAsia="Calibri"/>
        </w:rPr>
        <w:t>captured</w:t>
      </w:r>
      <w:r w:rsidR="001F5F22" w:rsidRPr="001F5F22">
        <w:rPr>
          <w:rFonts w:eastAsia="Calibri"/>
        </w:rPr>
        <w:t>. According to the findings, increasing expenditures on software and computer consulting services enhances labor productivity. It was demonstrated that the West Bank work force is more pr</w:t>
      </w:r>
      <w:r w:rsidR="001F5F22" w:rsidRPr="001F5F22">
        <w:rPr>
          <w:rFonts w:eastAsia="Calibri"/>
        </w:rPr>
        <w:t>o</w:t>
      </w:r>
      <w:r w:rsidR="001F5F22" w:rsidRPr="001F5F22">
        <w:rPr>
          <w:rFonts w:eastAsia="Calibri"/>
        </w:rPr>
        <w:t>ductive than its counterpart in the Gaza Strip. The results recommend that bus</w:t>
      </w:r>
      <w:r w:rsidR="001F5F22" w:rsidRPr="001F5F22">
        <w:rPr>
          <w:rFonts w:eastAsia="Calibri"/>
        </w:rPr>
        <w:t>i</w:t>
      </w:r>
      <w:r w:rsidR="001F5F22" w:rsidRPr="001F5F22">
        <w:rPr>
          <w:rFonts w:eastAsia="Calibri"/>
        </w:rPr>
        <w:t>nesses utilize ICT to improve efficiency. Finally, some intriguing policy impl</w:t>
      </w:r>
      <w:r w:rsidR="001F5F22" w:rsidRPr="001F5F22">
        <w:rPr>
          <w:rFonts w:eastAsia="Calibri"/>
        </w:rPr>
        <w:t>i</w:t>
      </w:r>
      <w:r w:rsidR="001F5F22" w:rsidRPr="001F5F22">
        <w:rPr>
          <w:rFonts w:eastAsia="Calibri"/>
        </w:rPr>
        <w:t>cations for the growth of the Palestinian manufacturing sector are proposed, while the limitati</w:t>
      </w:r>
      <w:r w:rsidR="001F5F22">
        <w:rPr>
          <w:rFonts w:eastAsia="Calibri"/>
        </w:rPr>
        <w:t>ons are acknowledged</w:t>
      </w:r>
      <w:r w:rsidRPr="00944DDE">
        <w:rPr>
          <w:rFonts w:eastAsia="Calibri"/>
        </w:rPr>
        <w:t>.</w:t>
      </w:r>
    </w:p>
    <w:p w:rsidR="001139CC" w:rsidRPr="00944DDE" w:rsidRDefault="001139CC" w:rsidP="001139CC">
      <w:pPr>
        <w:pStyle w:val="keywords"/>
        <w:rPr>
          <w:rFonts w:eastAsia="Calibri"/>
        </w:rPr>
      </w:pPr>
      <w:r w:rsidRPr="00300634">
        <w:rPr>
          <w:rFonts w:eastAsia="Calibri"/>
          <w:b/>
        </w:rPr>
        <w:t>Keywords:</w:t>
      </w:r>
      <w:r>
        <w:rPr>
          <w:rFonts w:eastAsia="Calibri"/>
        </w:rPr>
        <w:t xml:space="preserve"> Information and communication technology, Labor productivity, Palestine</w:t>
      </w:r>
    </w:p>
    <w:p w:rsidR="00482767" w:rsidRPr="00944DDE" w:rsidRDefault="00482767" w:rsidP="00482767">
      <w:pPr>
        <w:pStyle w:val="heading1"/>
      </w:pPr>
      <w:r w:rsidRPr="00944DDE">
        <w:t>Introduction</w:t>
      </w:r>
    </w:p>
    <w:p w:rsidR="00482767" w:rsidRPr="00944DDE" w:rsidRDefault="00482767" w:rsidP="00610566">
      <w:pPr>
        <w:pStyle w:val="p1a"/>
        <w:rPr>
          <w:rFonts w:eastAsia="Calibri"/>
        </w:rPr>
      </w:pPr>
      <w:r w:rsidRPr="00944DDE">
        <w:rPr>
          <w:rFonts w:eastAsia="Calibri"/>
        </w:rPr>
        <w:t xml:space="preserve">Unquestionably, information and communication technology (ICT) is a crucial </w:t>
      </w:r>
      <w:r w:rsidR="00610566" w:rsidRPr="00944DDE">
        <w:rPr>
          <w:rFonts w:eastAsia="Calibri"/>
        </w:rPr>
        <w:t>mec</w:t>
      </w:r>
      <w:r w:rsidR="00610566" w:rsidRPr="00944DDE">
        <w:rPr>
          <w:rFonts w:eastAsia="Calibri"/>
        </w:rPr>
        <w:t>h</w:t>
      </w:r>
      <w:r w:rsidR="00610566" w:rsidRPr="00944DDE">
        <w:rPr>
          <w:rFonts w:eastAsia="Calibri"/>
        </w:rPr>
        <w:t>anism</w:t>
      </w:r>
      <w:r w:rsidRPr="00944DDE">
        <w:rPr>
          <w:rFonts w:eastAsia="Calibri"/>
        </w:rPr>
        <w:t xml:space="preserve"> for economic </w:t>
      </w:r>
      <w:r w:rsidR="00610566" w:rsidRPr="00944DDE">
        <w:rPr>
          <w:rFonts w:eastAsia="Calibri"/>
        </w:rPr>
        <w:t>evolution</w:t>
      </w:r>
      <w:r w:rsidRPr="00944DDE">
        <w:rPr>
          <w:rFonts w:eastAsia="Calibri"/>
        </w:rPr>
        <w:t xml:space="preserve"> in industrialized </w:t>
      </w:r>
      <w:r w:rsidR="00610566">
        <w:rPr>
          <w:rFonts w:eastAsia="Calibri"/>
        </w:rPr>
        <w:t>countries</w:t>
      </w:r>
      <w:r w:rsidRPr="00944DDE">
        <w:rPr>
          <w:rFonts w:eastAsia="Calibri"/>
        </w:rPr>
        <w:t xml:space="preserve">. It promotes growth through innovation and productivity </w:t>
      </w:r>
      <w:r w:rsidR="00610566" w:rsidRPr="00944DDE">
        <w:rPr>
          <w:rFonts w:eastAsia="Calibri"/>
        </w:rPr>
        <w:t>improvement</w:t>
      </w:r>
      <w:r w:rsidRPr="00944DDE">
        <w:rPr>
          <w:rFonts w:eastAsia="Calibri"/>
        </w:rPr>
        <w:t>. It was discovered that ICT facilitates cap</w:t>
      </w:r>
      <w:r w:rsidRPr="00944DDE">
        <w:rPr>
          <w:rFonts w:eastAsia="Calibri"/>
        </w:rPr>
        <w:t>i</w:t>
      </w:r>
      <w:r w:rsidRPr="00944DDE">
        <w:rPr>
          <w:rFonts w:eastAsia="Calibri"/>
        </w:rPr>
        <w:t xml:space="preserve">tal deepening, improves the </w:t>
      </w:r>
      <w:r w:rsidR="00610566" w:rsidRPr="00944DDE">
        <w:rPr>
          <w:rFonts w:eastAsia="Calibri"/>
        </w:rPr>
        <w:t>productivity</w:t>
      </w:r>
      <w:r w:rsidRPr="00944DDE">
        <w:rPr>
          <w:rFonts w:eastAsia="Calibri"/>
        </w:rPr>
        <w:t xml:space="preserve"> of </w:t>
      </w:r>
      <w:r w:rsidR="00610566" w:rsidRPr="00944DDE">
        <w:rPr>
          <w:rFonts w:eastAsia="Calibri"/>
        </w:rPr>
        <w:t xml:space="preserve">capital </w:t>
      </w:r>
      <w:r w:rsidRPr="00944DDE">
        <w:rPr>
          <w:rFonts w:eastAsia="Calibri"/>
        </w:rPr>
        <w:t>and</w:t>
      </w:r>
      <w:r w:rsidR="00610566" w:rsidRPr="00610566">
        <w:rPr>
          <w:rFonts w:eastAsia="Calibri"/>
        </w:rPr>
        <w:t xml:space="preserve"> </w:t>
      </w:r>
      <w:r w:rsidR="00610566" w:rsidRPr="00944DDE">
        <w:rPr>
          <w:rFonts w:eastAsia="Calibri"/>
        </w:rPr>
        <w:t>labor</w:t>
      </w:r>
      <w:r w:rsidRPr="00944DDE">
        <w:rPr>
          <w:rFonts w:eastAsia="Calibri"/>
        </w:rPr>
        <w:t xml:space="preserve">, reduces transaction costs, </w:t>
      </w:r>
      <w:r w:rsidR="00610566" w:rsidRPr="00944DDE">
        <w:rPr>
          <w:rFonts w:eastAsia="Calibri"/>
        </w:rPr>
        <w:t>speed up</w:t>
      </w:r>
      <w:r w:rsidRPr="00944DDE">
        <w:rPr>
          <w:rFonts w:eastAsia="Calibri"/>
        </w:rPr>
        <w:t xml:space="preserve"> innovation, and facilitates access to </w:t>
      </w:r>
      <w:r w:rsidR="00610566" w:rsidRPr="00944DDE">
        <w:rPr>
          <w:rFonts w:eastAsia="Calibri"/>
        </w:rPr>
        <w:t>data</w:t>
      </w:r>
      <w:r w:rsidRPr="00944DDE">
        <w:rPr>
          <w:rFonts w:eastAsia="Calibri"/>
        </w:rPr>
        <w:t xml:space="preserve"> and knowledge [1].</w:t>
      </w:r>
    </w:p>
    <w:p w:rsidR="00482767" w:rsidRPr="00944DDE" w:rsidRDefault="00482767" w:rsidP="00610566">
      <w:pPr>
        <w:rPr>
          <w:rFonts w:eastAsia="Calibri"/>
        </w:rPr>
      </w:pPr>
      <w:r w:rsidRPr="00944DDE">
        <w:rPr>
          <w:rFonts w:eastAsia="Calibri"/>
        </w:rPr>
        <w:t xml:space="preserve">The relationship between information and communication technologies (ICT) and economic performance has been widely explored in </w:t>
      </w:r>
      <w:r w:rsidR="00610566">
        <w:rPr>
          <w:rFonts w:eastAsia="Calibri"/>
        </w:rPr>
        <w:t>past studies</w:t>
      </w:r>
      <w:r w:rsidRPr="00944DDE">
        <w:rPr>
          <w:rFonts w:eastAsia="Calibri"/>
        </w:rPr>
        <w:t xml:space="preserve"> [2, 3, 4, 5, </w:t>
      </w:r>
      <w:proofErr w:type="gramStart"/>
      <w:r w:rsidRPr="00944DDE">
        <w:rPr>
          <w:rFonts w:eastAsia="Calibri"/>
        </w:rPr>
        <w:t>6</w:t>
      </w:r>
      <w:proofErr w:type="gramEnd"/>
      <w:r w:rsidRPr="00944DDE">
        <w:rPr>
          <w:rFonts w:eastAsia="Calibri"/>
        </w:rPr>
        <w:t xml:space="preserve">]. Recent data shows a </w:t>
      </w:r>
      <w:r w:rsidR="00610566">
        <w:rPr>
          <w:rFonts w:eastAsia="Calibri"/>
        </w:rPr>
        <w:t>favorable</w:t>
      </w:r>
      <w:r w:rsidRPr="00944DDE">
        <w:rPr>
          <w:rFonts w:eastAsia="Calibri"/>
        </w:rPr>
        <w:t xml:space="preserve"> </w:t>
      </w:r>
      <w:r w:rsidR="00610566" w:rsidRPr="00944DDE">
        <w:rPr>
          <w:rFonts w:eastAsia="Calibri"/>
        </w:rPr>
        <w:t>influence</w:t>
      </w:r>
      <w:r w:rsidRPr="00944DDE">
        <w:rPr>
          <w:rFonts w:eastAsia="Calibri"/>
        </w:rPr>
        <w:t xml:space="preserve"> of ICT on economic performance [7, 8, 9, 10], no</w:t>
      </w:r>
      <w:r w:rsidRPr="00944DDE">
        <w:rPr>
          <w:rFonts w:eastAsia="Calibri"/>
        </w:rPr>
        <w:t>t</w:t>
      </w:r>
      <w:r w:rsidRPr="00944DDE">
        <w:rPr>
          <w:rFonts w:eastAsia="Calibri"/>
        </w:rPr>
        <w:t>withstanding inconsistent results.</w:t>
      </w:r>
    </w:p>
    <w:p w:rsidR="00482767" w:rsidRPr="00944DDE" w:rsidRDefault="00482767" w:rsidP="000323ED">
      <w:pPr>
        <w:rPr>
          <w:rFonts w:eastAsia="Calibri"/>
        </w:rPr>
      </w:pPr>
      <w:r w:rsidRPr="00944DDE">
        <w:rPr>
          <w:rFonts w:eastAsia="Calibri"/>
        </w:rPr>
        <w:t xml:space="preserve">The impact of ICT on economic </w:t>
      </w:r>
      <w:r w:rsidR="000323ED" w:rsidRPr="00944DDE">
        <w:rPr>
          <w:rFonts w:eastAsia="Calibri"/>
        </w:rPr>
        <w:t>progress</w:t>
      </w:r>
      <w:r w:rsidRPr="00944DDE">
        <w:rPr>
          <w:rFonts w:eastAsia="Calibri"/>
        </w:rPr>
        <w:t xml:space="preserve"> in underdeveloped nations is contingent on the appropriateness of ICT investments for long-term growth and the skills and </w:t>
      </w:r>
      <w:r w:rsidRPr="00944DDE">
        <w:rPr>
          <w:rFonts w:eastAsia="Calibri"/>
        </w:rPr>
        <w:lastRenderedPageBreak/>
        <w:t>productivity of human capital associated to ICT usage. Rare evidence comes from developing nations, with the majority coming from countries with significant ICT growth, such as China, India, Malaysia, and Turkey. In addition, the majority of r</w:t>
      </w:r>
      <w:r w:rsidRPr="00944DDE">
        <w:rPr>
          <w:rFonts w:eastAsia="Calibri"/>
        </w:rPr>
        <w:t>e</w:t>
      </w:r>
      <w:r w:rsidRPr="00944DDE">
        <w:rPr>
          <w:rFonts w:eastAsia="Calibri"/>
        </w:rPr>
        <w:t>search focuses on the ICT-productivity relationship in the manufacturing sector. Al</w:t>
      </w:r>
      <w:r w:rsidRPr="00944DDE">
        <w:rPr>
          <w:rFonts w:eastAsia="Calibri"/>
        </w:rPr>
        <w:t>t</w:t>
      </w:r>
      <w:r w:rsidRPr="00944DDE">
        <w:rPr>
          <w:rFonts w:eastAsia="Calibri"/>
        </w:rPr>
        <w:t>hough the service sector is more ICT-</w:t>
      </w:r>
      <w:r w:rsidR="000323ED" w:rsidRPr="00944DDE">
        <w:rPr>
          <w:rFonts w:eastAsia="Calibri"/>
        </w:rPr>
        <w:t>concentrated</w:t>
      </w:r>
      <w:r w:rsidRPr="00944DDE">
        <w:rPr>
          <w:rFonts w:eastAsia="Calibri"/>
        </w:rPr>
        <w:t xml:space="preserve"> [11], it is rarely studied in deve</w:t>
      </w:r>
      <w:r w:rsidRPr="00944DDE">
        <w:rPr>
          <w:rFonts w:eastAsia="Calibri"/>
        </w:rPr>
        <w:t>l</w:t>
      </w:r>
      <w:r w:rsidRPr="00944DDE">
        <w:rPr>
          <w:rFonts w:eastAsia="Calibri"/>
        </w:rPr>
        <w:t>oping nations [12].</w:t>
      </w:r>
    </w:p>
    <w:p w:rsidR="00482767" w:rsidRPr="00944DDE" w:rsidRDefault="00482767" w:rsidP="001054A0">
      <w:pPr>
        <w:rPr>
          <w:rFonts w:eastAsia="Calibri"/>
        </w:rPr>
      </w:pPr>
      <w:r w:rsidRPr="00944DDE">
        <w:rPr>
          <w:rFonts w:eastAsia="Calibri"/>
        </w:rPr>
        <w:t xml:space="preserve">This article examines the </w:t>
      </w:r>
      <w:r w:rsidR="000323ED" w:rsidRPr="00944DDE">
        <w:rPr>
          <w:rFonts w:eastAsia="Calibri"/>
        </w:rPr>
        <w:t>connection</w:t>
      </w:r>
      <w:r w:rsidRPr="00944DDE">
        <w:rPr>
          <w:rFonts w:eastAsia="Calibri"/>
        </w:rPr>
        <w:t xml:space="preserve"> between ICT utilization and labor productiv</w:t>
      </w:r>
      <w:r w:rsidRPr="00944DDE">
        <w:rPr>
          <w:rFonts w:eastAsia="Calibri"/>
        </w:rPr>
        <w:t>i</w:t>
      </w:r>
      <w:r w:rsidRPr="00944DDE">
        <w:rPr>
          <w:rFonts w:eastAsia="Calibri"/>
        </w:rPr>
        <w:t xml:space="preserve">ty in Palestine's underdeveloped economy. Long-term colonial measures imposed by a military occupation have a significant impact on the Palestinian economy. As a result, Palestine was compelled to </w:t>
      </w:r>
      <w:r w:rsidR="000323ED" w:rsidRPr="00944DDE">
        <w:rPr>
          <w:rFonts w:eastAsia="Calibri"/>
        </w:rPr>
        <w:t>split</w:t>
      </w:r>
      <w:r w:rsidRPr="00944DDE">
        <w:rPr>
          <w:rFonts w:eastAsia="Calibri"/>
        </w:rPr>
        <w:t xml:space="preserve"> into </w:t>
      </w:r>
      <w:r w:rsidR="000323ED">
        <w:rPr>
          <w:rFonts w:eastAsia="Calibri"/>
        </w:rPr>
        <w:t>several</w:t>
      </w:r>
      <w:r w:rsidRPr="00944DDE">
        <w:rPr>
          <w:rFonts w:eastAsia="Calibri"/>
        </w:rPr>
        <w:t xml:space="preserve"> </w:t>
      </w:r>
      <w:r w:rsidR="000323ED">
        <w:rPr>
          <w:rFonts w:eastAsia="Calibri"/>
        </w:rPr>
        <w:t>separate</w:t>
      </w:r>
      <w:r w:rsidRPr="00944DDE">
        <w:rPr>
          <w:rFonts w:eastAsia="Calibri"/>
        </w:rPr>
        <w:t xml:space="preserve"> regions, namely the West Bank, Gaza, and Al-Quds, each of which has its unique political and economic conditions. </w:t>
      </w:r>
      <w:r w:rsidR="000323ED" w:rsidRPr="00944DDE">
        <w:rPr>
          <w:rFonts w:eastAsia="Calibri"/>
        </w:rPr>
        <w:t>Notwithstanding</w:t>
      </w:r>
      <w:r w:rsidRPr="00944DDE">
        <w:rPr>
          <w:rFonts w:eastAsia="Calibri"/>
        </w:rPr>
        <w:t xml:space="preserve"> the </w:t>
      </w:r>
      <w:r w:rsidR="000323ED" w:rsidRPr="00944DDE">
        <w:rPr>
          <w:rFonts w:eastAsia="Calibri"/>
        </w:rPr>
        <w:t>qualified</w:t>
      </w:r>
      <w:r w:rsidRPr="00944DDE">
        <w:rPr>
          <w:rFonts w:eastAsia="Calibri"/>
        </w:rPr>
        <w:t xml:space="preserve"> autonomy in economic </w:t>
      </w:r>
      <w:r w:rsidR="000323ED" w:rsidRPr="00944DDE">
        <w:rPr>
          <w:rFonts w:eastAsia="Calibri"/>
        </w:rPr>
        <w:t>choices</w:t>
      </w:r>
      <w:r w:rsidRPr="00944DDE">
        <w:rPr>
          <w:rFonts w:eastAsia="Calibri"/>
        </w:rPr>
        <w:t xml:space="preserve"> achieved by Palestine in 1993, this </w:t>
      </w:r>
      <w:r w:rsidR="000323ED" w:rsidRPr="00944DDE">
        <w:rPr>
          <w:rFonts w:eastAsia="Calibri"/>
        </w:rPr>
        <w:t>independence</w:t>
      </w:r>
      <w:r w:rsidRPr="00944DDE">
        <w:rPr>
          <w:rFonts w:eastAsia="Calibri"/>
        </w:rPr>
        <w:t xml:space="preserve"> is severely constrained in terms of inter-trade between the three zones and international trade with the rest of the globe. By connecting different regions of Palestine to the rest of the globe, it is believed that ICT can assist circu</w:t>
      </w:r>
      <w:r w:rsidRPr="00944DDE">
        <w:rPr>
          <w:rFonts w:eastAsia="Calibri"/>
        </w:rPr>
        <w:t>m</w:t>
      </w:r>
      <w:r w:rsidRPr="00944DDE">
        <w:rPr>
          <w:rFonts w:eastAsia="Calibri"/>
        </w:rPr>
        <w:t>vent many of the constraints, particularly in the service industry. The Palestinian manufacturing industry has witnessed substantial growth in the use of information and communication technologies</w:t>
      </w:r>
      <w:r w:rsidR="001054A0">
        <w:rPr>
          <w:rFonts w:eastAsia="Calibri"/>
        </w:rPr>
        <w:t xml:space="preserve"> (ICT) at the enterprise level </w:t>
      </w:r>
      <w:r w:rsidRPr="00944DDE">
        <w:rPr>
          <w:rFonts w:eastAsia="Calibri"/>
        </w:rPr>
        <w:t>[</w:t>
      </w:r>
      <w:r w:rsidR="00DD4BA4" w:rsidRPr="00944DDE">
        <w:rPr>
          <w:rFonts w:eastAsia="Calibri"/>
        </w:rPr>
        <w:t>13</w:t>
      </w:r>
      <w:r w:rsidRPr="00944DDE">
        <w:rPr>
          <w:rFonts w:eastAsia="Calibri"/>
        </w:rPr>
        <w:t xml:space="preserve">]. An important study question is whether the productivity of the manufacturing sector, which </w:t>
      </w:r>
      <w:proofErr w:type="gramStart"/>
      <w:r w:rsidRPr="00944DDE">
        <w:rPr>
          <w:rFonts w:eastAsia="Calibri"/>
        </w:rPr>
        <w:t>employ</w:t>
      </w:r>
      <w:proofErr w:type="gramEnd"/>
      <w:r w:rsidRPr="00944DDE">
        <w:rPr>
          <w:rFonts w:eastAsia="Calibri"/>
        </w:rPr>
        <w:t xml:space="preserve"> more ICT, will increase relative to the less ICT-intensive sectors.</w:t>
      </w:r>
    </w:p>
    <w:p w:rsidR="00482767" w:rsidRPr="00944DDE" w:rsidRDefault="00482767" w:rsidP="001054A0">
      <w:pPr>
        <w:rPr>
          <w:rFonts w:eastAsia="Calibri"/>
        </w:rPr>
      </w:pPr>
      <w:r w:rsidRPr="00944DDE">
        <w:rPr>
          <w:rFonts w:eastAsia="Calibri"/>
        </w:rPr>
        <w:t xml:space="preserve">The remaining sections of this document are as follows: </w:t>
      </w:r>
      <w:r w:rsidR="001054A0">
        <w:rPr>
          <w:rFonts w:eastAsia="Calibri"/>
        </w:rPr>
        <w:t>S</w:t>
      </w:r>
      <w:r w:rsidRPr="00944DDE">
        <w:rPr>
          <w:rFonts w:eastAsia="Calibri"/>
        </w:rPr>
        <w:t xml:space="preserve">ection </w:t>
      </w:r>
      <w:r w:rsidR="001054A0">
        <w:rPr>
          <w:rFonts w:eastAsia="Calibri"/>
        </w:rPr>
        <w:t xml:space="preserve">2 </w:t>
      </w:r>
      <w:r w:rsidRPr="00944DDE">
        <w:rPr>
          <w:rFonts w:eastAsia="Calibri"/>
        </w:rPr>
        <w:t xml:space="preserve">introduces the </w:t>
      </w:r>
      <w:r w:rsidR="001054A0">
        <w:rPr>
          <w:rFonts w:eastAsia="Calibri"/>
        </w:rPr>
        <w:t>study background</w:t>
      </w:r>
      <w:r w:rsidRPr="00944DDE">
        <w:rPr>
          <w:rFonts w:eastAsia="Calibri"/>
        </w:rPr>
        <w:t xml:space="preserve">. Methodology is discussed in Section </w:t>
      </w:r>
      <w:r w:rsidR="001054A0">
        <w:rPr>
          <w:rFonts w:eastAsia="Calibri"/>
        </w:rPr>
        <w:t>3</w:t>
      </w:r>
      <w:r w:rsidRPr="00944DDE">
        <w:rPr>
          <w:rFonts w:eastAsia="Calibri"/>
        </w:rPr>
        <w:t xml:space="preserve">. </w:t>
      </w:r>
      <w:r w:rsidR="001054A0">
        <w:rPr>
          <w:rFonts w:eastAsia="Calibri"/>
        </w:rPr>
        <w:t>S</w:t>
      </w:r>
      <w:r w:rsidRPr="00944DDE">
        <w:rPr>
          <w:rFonts w:eastAsia="Calibri"/>
        </w:rPr>
        <w:t xml:space="preserve">ection </w:t>
      </w:r>
      <w:r w:rsidR="001054A0">
        <w:rPr>
          <w:rFonts w:eastAsia="Calibri"/>
        </w:rPr>
        <w:t xml:space="preserve">4 </w:t>
      </w:r>
      <w:r w:rsidRPr="00944DDE">
        <w:rPr>
          <w:rFonts w:eastAsia="Calibri"/>
        </w:rPr>
        <w:t xml:space="preserve">contains the </w:t>
      </w:r>
      <w:r w:rsidR="001054A0">
        <w:rPr>
          <w:rFonts w:eastAsia="Calibri"/>
        </w:rPr>
        <w:t xml:space="preserve">results and </w:t>
      </w:r>
      <w:r w:rsidRPr="00944DDE">
        <w:rPr>
          <w:rFonts w:eastAsia="Calibri"/>
        </w:rPr>
        <w:t xml:space="preserve">outcomes are discussed. </w:t>
      </w:r>
      <w:r w:rsidR="001054A0">
        <w:rPr>
          <w:rFonts w:eastAsia="Calibri"/>
        </w:rPr>
        <w:t>S</w:t>
      </w:r>
      <w:r w:rsidRPr="00944DDE">
        <w:rPr>
          <w:rFonts w:eastAsia="Calibri"/>
        </w:rPr>
        <w:t xml:space="preserve">ection </w:t>
      </w:r>
      <w:r w:rsidR="001054A0">
        <w:rPr>
          <w:rFonts w:eastAsia="Calibri"/>
        </w:rPr>
        <w:t>5 concluded</w:t>
      </w:r>
      <w:r w:rsidRPr="00944DDE">
        <w:rPr>
          <w:rFonts w:eastAsia="Calibri"/>
        </w:rPr>
        <w:t xml:space="preserve"> the study.</w:t>
      </w:r>
    </w:p>
    <w:p w:rsidR="00482767" w:rsidRPr="00944DDE" w:rsidRDefault="00482767" w:rsidP="00482767">
      <w:pPr>
        <w:pStyle w:val="heading1"/>
        <w:rPr>
          <w:rFonts w:eastAsia="Calibri"/>
        </w:rPr>
      </w:pPr>
      <w:r w:rsidRPr="00944DDE">
        <w:rPr>
          <w:rFonts w:eastAsia="Calibri"/>
        </w:rPr>
        <w:t>Theoretical Background</w:t>
      </w:r>
    </w:p>
    <w:p w:rsidR="00482767" w:rsidRPr="00944DDE" w:rsidRDefault="00482767" w:rsidP="001054A0">
      <w:pPr>
        <w:pStyle w:val="p1a"/>
        <w:rPr>
          <w:rFonts w:eastAsia="Calibri"/>
        </w:rPr>
      </w:pPr>
      <w:r w:rsidRPr="00944DDE">
        <w:rPr>
          <w:rFonts w:eastAsia="Calibri"/>
        </w:rPr>
        <w:t xml:space="preserve">Theoretically, ICT promotes economic development by fostering a "knowledge-based economy" in which information is an indispensable </w:t>
      </w:r>
      <w:r w:rsidR="001054A0" w:rsidRPr="00944DDE">
        <w:rPr>
          <w:rFonts w:eastAsia="Calibri"/>
        </w:rPr>
        <w:t>contribution</w:t>
      </w:r>
      <w:r w:rsidRPr="00944DDE">
        <w:rPr>
          <w:rFonts w:eastAsia="Calibri"/>
        </w:rPr>
        <w:t xml:space="preserve"> for corporate </w:t>
      </w:r>
      <w:r w:rsidR="001054A0" w:rsidRPr="00944DDE">
        <w:rPr>
          <w:rFonts w:eastAsia="Calibri"/>
        </w:rPr>
        <w:t>deve</w:t>
      </w:r>
      <w:r w:rsidR="001054A0" w:rsidRPr="00944DDE">
        <w:rPr>
          <w:rFonts w:eastAsia="Calibri"/>
        </w:rPr>
        <w:t>l</w:t>
      </w:r>
      <w:r w:rsidR="001054A0" w:rsidRPr="00944DDE">
        <w:rPr>
          <w:rFonts w:eastAsia="Calibri"/>
        </w:rPr>
        <w:t>opments</w:t>
      </w:r>
      <w:r w:rsidRPr="00944DDE">
        <w:rPr>
          <w:rFonts w:eastAsia="Calibri"/>
        </w:rPr>
        <w:t>. This is accomplished by the application of ICT tools, such as hardware, software, office automation, Internet service, and communications.</w:t>
      </w:r>
    </w:p>
    <w:p w:rsidR="00482767" w:rsidRPr="00944DDE" w:rsidRDefault="00482767" w:rsidP="00461D56">
      <w:r w:rsidRPr="00944DDE">
        <w:t xml:space="preserve">There are three levels of analysis for empirical </w:t>
      </w:r>
      <w:r w:rsidR="001054A0">
        <w:t>research</w:t>
      </w:r>
      <w:r w:rsidRPr="00944DDE">
        <w:t xml:space="preserve"> on the </w:t>
      </w:r>
      <w:r w:rsidR="001054A0" w:rsidRPr="00944DDE">
        <w:t>association</w:t>
      </w:r>
      <w:r w:rsidRPr="00944DDE">
        <w:t xml:space="preserve"> between economic growth and ICT </w:t>
      </w:r>
      <w:r w:rsidR="001054A0" w:rsidRPr="00944DDE">
        <w:t>usage</w:t>
      </w:r>
      <w:r w:rsidRPr="00944DDE">
        <w:t xml:space="preserve">: macro, </w:t>
      </w:r>
      <w:proofErr w:type="spellStart"/>
      <w:r w:rsidRPr="00944DDE">
        <w:t>sectoral</w:t>
      </w:r>
      <w:proofErr w:type="spellEnd"/>
      <w:r w:rsidRPr="00944DDE">
        <w:t xml:space="preserve">, and firm. Due to the absence of data on ICT investment and utilization, macroeconomic studies are uncommon </w:t>
      </w:r>
      <w:r w:rsidR="00E507D1" w:rsidRPr="00944DDE">
        <w:t>[14]</w:t>
      </w:r>
      <w:r w:rsidRPr="00944DDE">
        <w:t xml:space="preserve">. The majority of this research demonstrates a positive effect on productivity </w:t>
      </w:r>
      <w:r w:rsidR="00BC4000" w:rsidRPr="00944DDE">
        <w:t>[7</w:t>
      </w:r>
      <w:proofErr w:type="gramStart"/>
      <w:r w:rsidR="00BC4000" w:rsidRPr="00944DDE">
        <w:t>,8</w:t>
      </w:r>
      <w:proofErr w:type="gramEnd"/>
      <w:r w:rsidR="00BC4000" w:rsidRPr="00944DDE">
        <w:t>]</w:t>
      </w:r>
      <w:r w:rsidRPr="00944DDE">
        <w:t xml:space="preserve">. The majority of macroeconomic and industrial research is based on the growth accounting concept, which accounts for each output. </w:t>
      </w:r>
      <w:r w:rsidR="001054A0" w:rsidRPr="001054A0">
        <w:t>Typically, research undertaken at the firm level is more rigorous.</w:t>
      </w:r>
      <w:r w:rsidRPr="00944DDE">
        <w:t xml:space="preserve"> Firm-level data can reveal aspects of ICT impact that cannot be captured at the industry or macro levels, such as skills, organizational competen</w:t>
      </w:r>
      <w:r w:rsidRPr="00944DDE">
        <w:t>c</w:t>
      </w:r>
      <w:r w:rsidRPr="00944DDE">
        <w:t xml:space="preserve">es, and entrepreneurship </w:t>
      </w:r>
      <w:r w:rsidR="0087540F" w:rsidRPr="00944DDE">
        <w:t>[15]</w:t>
      </w:r>
      <w:r w:rsidRPr="00944DDE">
        <w:t xml:space="preserve">. </w:t>
      </w:r>
      <w:r w:rsidR="00461D56" w:rsidRPr="00461D56">
        <w:t>A variety of approaches and data are applied for anal</w:t>
      </w:r>
      <w:r w:rsidR="00461D56" w:rsidRPr="00461D56">
        <w:t>y</w:t>
      </w:r>
      <w:r w:rsidR="00461D56" w:rsidRPr="00461D56">
        <w:t xml:space="preserve">sis at the corporate level. </w:t>
      </w:r>
      <w:r w:rsidRPr="00944DDE">
        <w:t>The majority of this research has been conducted in wealthy nations. Using complementary factors, for instance, the availability of talent, organ</w:t>
      </w:r>
      <w:r w:rsidRPr="00944DDE">
        <w:t>i</w:t>
      </w:r>
      <w:r w:rsidRPr="00944DDE">
        <w:t xml:space="preserve">zational variables, and creativity, </w:t>
      </w:r>
      <w:proofErr w:type="spellStart"/>
      <w:r w:rsidRPr="00944DDE">
        <w:t>Skorupinska</w:t>
      </w:r>
      <w:proofErr w:type="spellEnd"/>
      <w:r w:rsidRPr="00944DDE">
        <w:t xml:space="preserve"> and </w:t>
      </w:r>
      <w:proofErr w:type="spellStart"/>
      <w:r w:rsidRPr="00944DDE">
        <w:t>Sellens</w:t>
      </w:r>
      <w:proofErr w:type="spellEnd"/>
      <w:r w:rsidRPr="00944DDE">
        <w:t xml:space="preserve"> </w:t>
      </w:r>
      <w:r w:rsidR="00E507D1" w:rsidRPr="00944DDE">
        <w:t>[14]</w:t>
      </w:r>
      <w:r w:rsidRPr="00944DDE">
        <w:t xml:space="preserve"> examined the relatio</w:t>
      </w:r>
      <w:r w:rsidRPr="00944DDE">
        <w:t>n</w:t>
      </w:r>
      <w:r w:rsidRPr="00944DDE">
        <w:t>ship between ICT and productivity. These factors are difficult to measure in macro</w:t>
      </w:r>
      <w:r w:rsidRPr="00944DDE">
        <w:t>e</w:t>
      </w:r>
      <w:r w:rsidRPr="00944DDE">
        <w:t>conomics. For instance, if we invest the same amount in ICT in two firms in the same industry, but they manage organizational changes differently, there will be a variation in production between the two firms at the sector level.</w:t>
      </w:r>
    </w:p>
    <w:p w:rsidR="00482767" w:rsidRPr="00944DDE" w:rsidRDefault="00461D56" w:rsidP="007B6871">
      <w:pPr>
        <w:rPr>
          <w:rFonts w:eastAsia="Calibri"/>
          <w:kern w:val="2"/>
        </w:rPr>
      </w:pPr>
      <w:r w:rsidRPr="00461D56">
        <w:rPr>
          <w:rFonts w:eastAsia="Calibri"/>
          <w:kern w:val="2"/>
        </w:rPr>
        <w:t>The impact of computers on productivity is the result of both their inherent fe</w:t>
      </w:r>
      <w:r w:rsidRPr="00461D56">
        <w:rPr>
          <w:rFonts w:eastAsia="Calibri"/>
          <w:kern w:val="2"/>
        </w:rPr>
        <w:t>a</w:t>
      </w:r>
      <w:r w:rsidRPr="00461D56">
        <w:rPr>
          <w:rFonts w:eastAsia="Calibri"/>
          <w:kern w:val="2"/>
        </w:rPr>
        <w:t>tures, such as their storage capacity and processing power, and their use as the means for acquiring other complex ICT facilities, such as internet connection and web pre</w:t>
      </w:r>
      <w:r w:rsidRPr="00461D56">
        <w:rPr>
          <w:rFonts w:eastAsia="Calibri"/>
          <w:kern w:val="2"/>
        </w:rPr>
        <w:t>s</w:t>
      </w:r>
      <w:r w:rsidRPr="00461D56">
        <w:rPr>
          <w:rFonts w:eastAsia="Calibri"/>
          <w:kern w:val="2"/>
        </w:rPr>
        <w:t>ence.</w:t>
      </w:r>
      <w:r>
        <w:rPr>
          <w:rFonts w:eastAsia="Calibri"/>
          <w:kern w:val="2"/>
        </w:rPr>
        <w:t xml:space="preserve"> </w:t>
      </w:r>
      <w:r w:rsidR="00482767" w:rsidRPr="00944DDE">
        <w:rPr>
          <w:rFonts w:eastAsia="Calibri"/>
          <w:kern w:val="2"/>
        </w:rPr>
        <w:t>The use of computers increased the labor efficiency of U.S. industrial enterpri</w:t>
      </w:r>
      <w:r w:rsidR="00482767" w:rsidRPr="00944DDE">
        <w:rPr>
          <w:rFonts w:eastAsia="Calibri"/>
          <w:kern w:val="2"/>
        </w:rPr>
        <w:t>s</w:t>
      </w:r>
      <w:r w:rsidR="00482767" w:rsidRPr="00944DDE">
        <w:rPr>
          <w:rFonts w:eastAsia="Calibri"/>
          <w:kern w:val="2"/>
        </w:rPr>
        <w:t>es by five percent, according to a study [</w:t>
      </w:r>
      <w:r w:rsidR="007E4C72" w:rsidRPr="00944DDE">
        <w:rPr>
          <w:rFonts w:eastAsia="Calibri"/>
          <w:kern w:val="2"/>
        </w:rPr>
        <w:t>16</w:t>
      </w:r>
      <w:r w:rsidR="00482767" w:rsidRPr="00944DDE">
        <w:rPr>
          <w:rFonts w:eastAsia="Calibri"/>
          <w:kern w:val="2"/>
        </w:rPr>
        <w:t xml:space="preserve">]. </w:t>
      </w:r>
      <w:r w:rsidRPr="00461D56">
        <w:rPr>
          <w:rFonts w:eastAsia="Calibri"/>
          <w:kern w:val="2"/>
        </w:rPr>
        <w:t xml:space="preserve">In Switzerland, </w:t>
      </w:r>
      <w:proofErr w:type="spellStart"/>
      <w:r w:rsidRPr="00461D56">
        <w:rPr>
          <w:rFonts w:eastAsia="Calibri"/>
          <w:kern w:val="2"/>
        </w:rPr>
        <w:t>Arvanitis</w:t>
      </w:r>
      <w:proofErr w:type="spellEnd"/>
      <w:r w:rsidRPr="00461D56">
        <w:rPr>
          <w:rFonts w:eastAsia="Calibri"/>
          <w:kern w:val="2"/>
        </w:rPr>
        <w:t xml:space="preserve"> [17] observed a substantial correlation between enterprise-level ICT investment and labor productiv</w:t>
      </w:r>
      <w:r w:rsidRPr="00461D56">
        <w:rPr>
          <w:rFonts w:eastAsia="Calibri"/>
          <w:kern w:val="2"/>
        </w:rPr>
        <w:t>i</w:t>
      </w:r>
      <w:r w:rsidRPr="00461D56">
        <w:rPr>
          <w:rFonts w:eastAsia="Calibri"/>
          <w:kern w:val="2"/>
        </w:rPr>
        <w:t>ty.</w:t>
      </w:r>
      <w:r w:rsidR="00482767" w:rsidRPr="00944DDE">
        <w:rPr>
          <w:rFonts w:eastAsia="Calibri"/>
          <w:kern w:val="2"/>
        </w:rPr>
        <w:t xml:space="preserve"> </w:t>
      </w:r>
      <w:proofErr w:type="spellStart"/>
      <w:r w:rsidRPr="00461D56">
        <w:rPr>
          <w:rFonts w:eastAsia="Calibri"/>
          <w:kern w:val="2"/>
        </w:rPr>
        <w:t>Atrostic</w:t>
      </w:r>
      <w:proofErr w:type="spellEnd"/>
      <w:r w:rsidRPr="00461D56">
        <w:rPr>
          <w:rFonts w:eastAsia="Calibri"/>
          <w:kern w:val="2"/>
        </w:rPr>
        <w:t xml:space="preserve"> and Nguyen [18] investigated the relationship between ICT and worker productivity in U.S. industrial firms by utilizing two unique computer-related vari</w:t>
      </w:r>
      <w:r w:rsidRPr="00461D56">
        <w:rPr>
          <w:rFonts w:eastAsia="Calibri"/>
          <w:kern w:val="2"/>
        </w:rPr>
        <w:t>a</w:t>
      </w:r>
      <w:r w:rsidRPr="00461D56">
        <w:rPr>
          <w:rFonts w:eastAsia="Calibri"/>
          <w:kern w:val="2"/>
        </w:rPr>
        <w:t>bles: computer capital and computer networks (how computers are utilized). They discovered that computer networks enhanced labor productivity by 5%, whereas co</w:t>
      </w:r>
      <w:r w:rsidRPr="00461D56">
        <w:rPr>
          <w:rFonts w:eastAsia="Calibri"/>
          <w:kern w:val="2"/>
        </w:rPr>
        <w:t>m</w:t>
      </w:r>
      <w:r w:rsidRPr="00461D56">
        <w:rPr>
          <w:rFonts w:eastAsia="Calibri"/>
          <w:kern w:val="2"/>
        </w:rPr>
        <w:t>puter investment raised it by 12%.</w:t>
      </w:r>
      <w:r w:rsidR="00482767" w:rsidRPr="00944DDE">
        <w:rPr>
          <w:rFonts w:eastAsia="Calibri"/>
          <w:kern w:val="2"/>
        </w:rPr>
        <w:t xml:space="preserve"> </w:t>
      </w:r>
      <w:proofErr w:type="spellStart"/>
      <w:r w:rsidR="00482767" w:rsidRPr="00944DDE">
        <w:rPr>
          <w:rFonts w:eastAsia="Calibri"/>
          <w:kern w:val="2"/>
        </w:rPr>
        <w:t>Criscuolo</w:t>
      </w:r>
      <w:proofErr w:type="spellEnd"/>
      <w:r w:rsidR="00482767" w:rsidRPr="00944DDE">
        <w:rPr>
          <w:rFonts w:eastAsia="Calibri"/>
          <w:kern w:val="2"/>
        </w:rPr>
        <w:t xml:space="preserve"> and Waldron [</w:t>
      </w:r>
      <w:r w:rsidR="007E4C72" w:rsidRPr="00944DDE">
        <w:rPr>
          <w:rFonts w:eastAsia="Calibri"/>
          <w:kern w:val="2"/>
        </w:rPr>
        <w:t>19</w:t>
      </w:r>
      <w:r w:rsidR="00482767" w:rsidRPr="00944DDE">
        <w:rPr>
          <w:rFonts w:eastAsia="Calibri"/>
          <w:kern w:val="2"/>
        </w:rPr>
        <w:t xml:space="preserve">], utilizing </w:t>
      </w:r>
      <w:r w:rsidR="007B6871">
        <w:rPr>
          <w:rFonts w:eastAsia="Calibri"/>
          <w:kern w:val="2"/>
        </w:rPr>
        <w:t>data</w:t>
      </w:r>
      <w:r w:rsidR="00482767" w:rsidRPr="00944DDE">
        <w:rPr>
          <w:rFonts w:eastAsia="Calibri"/>
          <w:kern w:val="2"/>
        </w:rPr>
        <w:t xml:space="preserve"> of Bri</w:t>
      </w:r>
      <w:r w:rsidR="00482767" w:rsidRPr="00944DDE">
        <w:rPr>
          <w:rFonts w:eastAsia="Calibri"/>
          <w:kern w:val="2"/>
        </w:rPr>
        <w:t>t</w:t>
      </w:r>
      <w:r w:rsidR="00482767" w:rsidRPr="00944DDE">
        <w:rPr>
          <w:rFonts w:eastAsia="Calibri"/>
          <w:kern w:val="2"/>
        </w:rPr>
        <w:t xml:space="preserve">ish </w:t>
      </w:r>
      <w:r w:rsidR="007B6871" w:rsidRPr="00944DDE">
        <w:rPr>
          <w:rFonts w:eastAsia="Calibri"/>
          <w:kern w:val="2"/>
        </w:rPr>
        <w:t>industrial</w:t>
      </w:r>
      <w:r w:rsidR="00482767" w:rsidRPr="00944DDE">
        <w:rPr>
          <w:rFonts w:eastAsia="Calibri"/>
          <w:kern w:val="2"/>
        </w:rPr>
        <w:t xml:space="preserve"> enterprises, discovered that e-commerce increased labor productivity by 7–9%. </w:t>
      </w:r>
      <w:proofErr w:type="spellStart"/>
      <w:r w:rsidR="007B6871" w:rsidRPr="007B6871">
        <w:rPr>
          <w:rFonts w:eastAsia="Calibri"/>
          <w:kern w:val="2"/>
        </w:rPr>
        <w:t>Gretton</w:t>
      </w:r>
      <w:proofErr w:type="spellEnd"/>
      <w:r w:rsidR="007B6871" w:rsidRPr="007B6871">
        <w:rPr>
          <w:rFonts w:eastAsia="Calibri"/>
          <w:kern w:val="2"/>
        </w:rPr>
        <w:t xml:space="preserve"> [20] discovered, using Australian firm-level data, that ICT was pos</w:t>
      </w:r>
      <w:r w:rsidR="007B6871" w:rsidRPr="007B6871">
        <w:rPr>
          <w:rFonts w:eastAsia="Calibri"/>
          <w:kern w:val="2"/>
        </w:rPr>
        <w:t>i</w:t>
      </w:r>
      <w:r w:rsidR="007B6871" w:rsidRPr="007B6871">
        <w:rPr>
          <w:rFonts w:eastAsia="Calibri"/>
          <w:kern w:val="2"/>
        </w:rPr>
        <w:t>tively related with the annual rise of multifactor productivity (MFP) by nearly two-tenths of a percentage point.</w:t>
      </w:r>
      <w:r w:rsidR="007B6871">
        <w:rPr>
          <w:rFonts w:eastAsia="Calibri"/>
          <w:kern w:val="2"/>
        </w:rPr>
        <w:t xml:space="preserve"> </w:t>
      </w:r>
      <w:r w:rsidR="007B6871" w:rsidRPr="007B6871">
        <w:rPr>
          <w:rFonts w:eastAsia="Calibri"/>
          <w:kern w:val="2"/>
        </w:rPr>
        <w:t xml:space="preserve">After correcting for firm- and industry-specific factors as well as the effect of time, </w:t>
      </w:r>
      <w:proofErr w:type="spellStart"/>
      <w:r w:rsidR="007B6871" w:rsidRPr="007B6871">
        <w:rPr>
          <w:rFonts w:eastAsia="Calibri"/>
          <w:kern w:val="2"/>
        </w:rPr>
        <w:t>Maliranta</w:t>
      </w:r>
      <w:proofErr w:type="spellEnd"/>
      <w:r w:rsidR="007B6871" w:rsidRPr="007B6871">
        <w:rPr>
          <w:rFonts w:eastAsia="Calibri"/>
          <w:kern w:val="2"/>
        </w:rPr>
        <w:t xml:space="preserve"> and </w:t>
      </w:r>
      <w:proofErr w:type="spellStart"/>
      <w:r w:rsidR="007B6871" w:rsidRPr="007B6871">
        <w:rPr>
          <w:rFonts w:eastAsia="Calibri"/>
          <w:kern w:val="2"/>
        </w:rPr>
        <w:t>Rouvinen</w:t>
      </w:r>
      <w:proofErr w:type="spellEnd"/>
      <w:r w:rsidR="007B6871" w:rsidRPr="007B6871">
        <w:rPr>
          <w:rFonts w:eastAsia="Calibri"/>
          <w:kern w:val="2"/>
        </w:rPr>
        <w:t xml:space="preserve"> [21] estimated that the productivity of ICT-equipped labor in Finland improved by 8–18%. Using computers and the I</w:t>
      </w:r>
      <w:r w:rsidR="007B6871" w:rsidRPr="007B6871">
        <w:rPr>
          <w:rFonts w:eastAsia="Calibri"/>
          <w:kern w:val="2"/>
        </w:rPr>
        <w:t>n</w:t>
      </w:r>
      <w:r w:rsidR="007B6871" w:rsidRPr="007B6871">
        <w:rPr>
          <w:rFonts w:eastAsia="Calibri"/>
          <w:kern w:val="2"/>
        </w:rPr>
        <w:t>ternet, as well as having a strong web presence, is associated with significant increa</w:t>
      </w:r>
      <w:r w:rsidR="007B6871" w:rsidRPr="007B6871">
        <w:rPr>
          <w:rFonts w:eastAsia="Calibri"/>
          <w:kern w:val="2"/>
        </w:rPr>
        <w:t>s</w:t>
      </w:r>
      <w:r w:rsidR="007B6871" w:rsidRPr="007B6871">
        <w:rPr>
          <w:rFonts w:eastAsia="Calibri"/>
          <w:kern w:val="2"/>
        </w:rPr>
        <w:t>es in worker performance, as measured by revenue per employee [12], according to an analysis of the productivity of Thai businesses.</w:t>
      </w:r>
      <w:r w:rsidR="00482767" w:rsidRPr="00944DDE">
        <w:rPr>
          <w:rFonts w:eastAsia="Calibri"/>
          <w:kern w:val="2"/>
        </w:rPr>
        <w:t xml:space="preserve"> </w:t>
      </w:r>
      <w:proofErr w:type="spellStart"/>
      <w:r w:rsidR="00482767" w:rsidRPr="00944DDE">
        <w:rPr>
          <w:rFonts w:eastAsia="Calibri"/>
          <w:kern w:val="2"/>
        </w:rPr>
        <w:t>Thuvasethakul</w:t>
      </w:r>
      <w:proofErr w:type="spellEnd"/>
      <w:r w:rsidR="00482767" w:rsidRPr="00944DDE">
        <w:rPr>
          <w:rFonts w:eastAsia="Calibri"/>
          <w:kern w:val="2"/>
        </w:rPr>
        <w:t xml:space="preserve"> and </w:t>
      </w:r>
      <w:proofErr w:type="spellStart"/>
      <w:r w:rsidR="00482767" w:rsidRPr="00944DDE">
        <w:rPr>
          <w:rFonts w:eastAsia="Calibri"/>
          <w:kern w:val="2"/>
        </w:rPr>
        <w:t>Koanantakool</w:t>
      </w:r>
      <w:proofErr w:type="spellEnd"/>
      <w:r w:rsidR="00482767" w:rsidRPr="00944DDE">
        <w:rPr>
          <w:rFonts w:eastAsia="Calibri"/>
          <w:kern w:val="2"/>
        </w:rPr>
        <w:t xml:space="preserve"> [</w:t>
      </w:r>
      <w:r w:rsidR="007E4C72" w:rsidRPr="00944DDE">
        <w:rPr>
          <w:rFonts w:eastAsia="Calibri"/>
          <w:kern w:val="2"/>
        </w:rPr>
        <w:t>22</w:t>
      </w:r>
      <w:r w:rsidR="00482767" w:rsidRPr="00944DDE">
        <w:rPr>
          <w:rFonts w:eastAsia="Calibri"/>
          <w:kern w:val="2"/>
        </w:rPr>
        <w:t xml:space="preserve">] shown that the impact of computers on Thai enterprises' productivity was greater than that of the internet and web presence. </w:t>
      </w:r>
    </w:p>
    <w:p w:rsidR="00482767" w:rsidRPr="00944DDE" w:rsidRDefault="00482767" w:rsidP="007B6871">
      <w:pPr>
        <w:rPr>
          <w:rFonts w:eastAsia="Calibri"/>
          <w:kern w:val="2"/>
        </w:rPr>
      </w:pPr>
      <w:proofErr w:type="spellStart"/>
      <w:r w:rsidRPr="00944DDE">
        <w:rPr>
          <w:rFonts w:eastAsia="Calibri"/>
          <w:kern w:val="2"/>
        </w:rPr>
        <w:t>Gretton</w:t>
      </w:r>
      <w:proofErr w:type="spellEnd"/>
      <w:r w:rsidRPr="00944DDE">
        <w:rPr>
          <w:rFonts w:eastAsia="Calibri"/>
          <w:kern w:val="2"/>
        </w:rPr>
        <w:t xml:space="preserve"> [</w:t>
      </w:r>
      <w:r w:rsidR="007E4C72" w:rsidRPr="00944DDE">
        <w:rPr>
          <w:rFonts w:eastAsia="Calibri"/>
          <w:kern w:val="2"/>
        </w:rPr>
        <w:t>20</w:t>
      </w:r>
      <w:r w:rsidRPr="00944DDE">
        <w:rPr>
          <w:rFonts w:eastAsia="Calibri"/>
          <w:kern w:val="2"/>
        </w:rPr>
        <w:t>], who demonstrated a beneficial influence of ICT on MFP develo</w:t>
      </w:r>
      <w:r w:rsidRPr="00944DDE">
        <w:rPr>
          <w:rFonts w:eastAsia="Calibri"/>
          <w:kern w:val="2"/>
        </w:rPr>
        <w:t>p</w:t>
      </w:r>
      <w:r w:rsidRPr="00944DDE">
        <w:rPr>
          <w:rFonts w:eastAsia="Calibri"/>
          <w:kern w:val="2"/>
        </w:rPr>
        <w:t xml:space="preserve">ment in several Australian and American service sector enterprises. </w:t>
      </w:r>
      <w:r w:rsidR="007B6871" w:rsidRPr="007B6871">
        <w:rPr>
          <w:rFonts w:eastAsia="Calibri"/>
          <w:kern w:val="2"/>
        </w:rPr>
        <w:t xml:space="preserve">Moreover, </w:t>
      </w:r>
      <w:proofErr w:type="spellStart"/>
      <w:r w:rsidR="007B6871" w:rsidRPr="007B6871">
        <w:rPr>
          <w:rFonts w:eastAsia="Calibri"/>
          <w:kern w:val="2"/>
        </w:rPr>
        <w:t>Doms</w:t>
      </w:r>
      <w:proofErr w:type="spellEnd"/>
      <w:r w:rsidR="007B6871" w:rsidRPr="007B6871">
        <w:rPr>
          <w:rFonts w:eastAsia="Calibri"/>
          <w:kern w:val="2"/>
        </w:rPr>
        <w:t xml:space="preserve"> [23] found that the replacement of conventional retailers with modern services in the retail segment of the United States throughout the 1990s was reliant on the adoption of new technologies and processes that integrated ICT. </w:t>
      </w:r>
      <w:proofErr w:type="spellStart"/>
      <w:r w:rsidR="007B6871" w:rsidRPr="007B6871">
        <w:rPr>
          <w:rFonts w:eastAsia="Calibri"/>
          <w:kern w:val="2"/>
        </w:rPr>
        <w:t>Maliranta</w:t>
      </w:r>
      <w:proofErr w:type="spellEnd"/>
      <w:r w:rsidR="007B6871" w:rsidRPr="007B6871">
        <w:rPr>
          <w:rFonts w:eastAsia="Calibri"/>
          <w:kern w:val="2"/>
        </w:rPr>
        <w:t xml:space="preserve"> and </w:t>
      </w:r>
      <w:proofErr w:type="spellStart"/>
      <w:r w:rsidR="007B6871" w:rsidRPr="007B6871">
        <w:rPr>
          <w:rFonts w:eastAsia="Calibri"/>
          <w:kern w:val="2"/>
        </w:rPr>
        <w:t>Rouvinen</w:t>
      </w:r>
      <w:proofErr w:type="spellEnd"/>
      <w:r w:rsidR="007B6871" w:rsidRPr="007B6871">
        <w:rPr>
          <w:rFonts w:eastAsia="Calibri"/>
          <w:kern w:val="2"/>
        </w:rPr>
        <w:t xml:space="preserve"> [21] found that the impact of ICT on worker productivity in Finland's service sector was significant.</w:t>
      </w:r>
      <w:r w:rsidRPr="00944DDE">
        <w:rPr>
          <w:rFonts w:eastAsia="Calibri"/>
          <w:kern w:val="2"/>
        </w:rPr>
        <w:t xml:space="preserve"> In Switzerland, </w:t>
      </w:r>
      <w:proofErr w:type="spellStart"/>
      <w:r w:rsidRPr="00944DDE">
        <w:rPr>
          <w:rFonts w:eastAsia="Calibri"/>
          <w:kern w:val="2"/>
        </w:rPr>
        <w:t>Arvanitis</w:t>
      </w:r>
      <w:proofErr w:type="spellEnd"/>
      <w:r w:rsidRPr="00944DDE">
        <w:rPr>
          <w:rFonts w:eastAsia="Calibri"/>
          <w:kern w:val="2"/>
        </w:rPr>
        <w:t xml:space="preserve"> [</w:t>
      </w:r>
      <w:r w:rsidR="007E4C72" w:rsidRPr="00944DDE">
        <w:rPr>
          <w:rFonts w:eastAsia="Calibri"/>
          <w:kern w:val="2"/>
        </w:rPr>
        <w:t>17</w:t>
      </w:r>
      <w:r w:rsidRPr="00944DDE">
        <w:rPr>
          <w:rFonts w:eastAsia="Calibri"/>
          <w:kern w:val="2"/>
        </w:rPr>
        <w:t xml:space="preserve">] discovered that Internet use in the service sector was crucial. Using a sample of service and manufacturing organizations, </w:t>
      </w:r>
      <w:proofErr w:type="spellStart"/>
      <w:r w:rsidR="007B6871" w:rsidRPr="007B6871">
        <w:rPr>
          <w:rFonts w:eastAsia="Calibri"/>
          <w:kern w:val="2"/>
        </w:rPr>
        <w:t>Farooqui</w:t>
      </w:r>
      <w:proofErr w:type="spellEnd"/>
      <w:r w:rsidR="007B6871" w:rsidRPr="007B6871">
        <w:rPr>
          <w:rFonts w:eastAsia="Calibri"/>
          <w:kern w:val="2"/>
        </w:rPr>
        <w:t xml:space="preserve"> [24] discovered that e-commerce had a beneficial influence on worker productivity in service organizations but a negative one in manufacturing firms.</w:t>
      </w:r>
    </w:p>
    <w:p w:rsidR="00482767" w:rsidRPr="00944DDE" w:rsidRDefault="006E2EC2" w:rsidP="006E2EC2">
      <w:pPr>
        <w:rPr>
          <w:rFonts w:eastAsia="Calibri"/>
          <w:kern w:val="2"/>
        </w:rPr>
      </w:pPr>
      <w:r w:rsidRPr="006E2EC2">
        <w:rPr>
          <w:rFonts w:eastAsia="Calibri"/>
          <w:kern w:val="2"/>
        </w:rPr>
        <w:t>When ICT investment is combined with other investments and refo</w:t>
      </w:r>
      <w:r>
        <w:rPr>
          <w:rFonts w:eastAsia="Calibri"/>
          <w:kern w:val="2"/>
        </w:rPr>
        <w:t>rms, its impact becomes evident</w:t>
      </w:r>
      <w:r w:rsidR="00482767" w:rsidRPr="00944DDE">
        <w:rPr>
          <w:rFonts w:eastAsia="Calibri"/>
          <w:kern w:val="2"/>
        </w:rPr>
        <w:t xml:space="preserve">, i.e. "ICT predominantly affects enterprises when skills have been developed and organizational changes have been implemented" [11]. </w:t>
      </w:r>
      <w:r w:rsidRPr="006E2EC2">
        <w:rPr>
          <w:rFonts w:eastAsia="Calibri"/>
          <w:kern w:val="2"/>
        </w:rPr>
        <w:t xml:space="preserve">In Canada, the use of new technology needs a higher level of ability [25]. </w:t>
      </w:r>
      <w:proofErr w:type="spellStart"/>
      <w:r w:rsidRPr="006E2EC2">
        <w:rPr>
          <w:rFonts w:eastAsia="Calibri"/>
          <w:kern w:val="2"/>
        </w:rPr>
        <w:t>Gretton</w:t>
      </w:r>
      <w:proofErr w:type="spellEnd"/>
      <w:r w:rsidRPr="006E2EC2">
        <w:rPr>
          <w:rFonts w:eastAsia="Calibri"/>
          <w:kern w:val="2"/>
        </w:rPr>
        <w:t xml:space="preserve"> [20] also found that human skills, new innovation methods, sophisticated business practices, and the adoption of fresh organizational changes are crucial for Australian enterprises to ge</w:t>
      </w:r>
      <w:r w:rsidRPr="006E2EC2">
        <w:rPr>
          <w:rFonts w:eastAsia="Calibri"/>
          <w:kern w:val="2"/>
        </w:rPr>
        <w:t>n</w:t>
      </w:r>
      <w:r w:rsidRPr="006E2EC2">
        <w:rPr>
          <w:rFonts w:eastAsia="Calibri"/>
          <w:kern w:val="2"/>
        </w:rPr>
        <w:t xml:space="preserve">erate a positive </w:t>
      </w:r>
      <w:proofErr w:type="spellStart"/>
      <w:r w:rsidRPr="006E2EC2">
        <w:rPr>
          <w:rFonts w:eastAsia="Calibri"/>
          <w:kern w:val="2"/>
        </w:rPr>
        <w:t>im</w:t>
      </w:r>
      <w:proofErr w:type="spellEnd"/>
      <w:r w:rsidRPr="006E2EC2">
        <w:rPr>
          <w:rFonts w:eastAsia="Calibri"/>
          <w:kern w:val="2"/>
        </w:rPr>
        <w:t>-pact of ICT investment on productivity.</w:t>
      </w:r>
      <w:r w:rsidR="00482767" w:rsidRPr="00944DDE">
        <w:rPr>
          <w:rFonts w:eastAsia="Calibri"/>
          <w:kern w:val="2"/>
        </w:rPr>
        <w:t xml:space="preserve"> In France, </w:t>
      </w:r>
      <w:proofErr w:type="spellStart"/>
      <w:r w:rsidR="00482767" w:rsidRPr="00944DDE">
        <w:rPr>
          <w:rFonts w:eastAsia="Calibri"/>
          <w:kern w:val="2"/>
        </w:rPr>
        <w:t>Entorf</w:t>
      </w:r>
      <w:proofErr w:type="spellEnd"/>
      <w:r w:rsidR="00482767" w:rsidRPr="00944DDE">
        <w:rPr>
          <w:rFonts w:eastAsia="Calibri"/>
          <w:kern w:val="2"/>
        </w:rPr>
        <w:t xml:space="preserve"> and </w:t>
      </w:r>
      <w:proofErr w:type="spellStart"/>
      <w:r w:rsidR="00482767" w:rsidRPr="00944DDE">
        <w:rPr>
          <w:rFonts w:eastAsia="Calibri"/>
          <w:kern w:val="2"/>
        </w:rPr>
        <w:t>Kramarz</w:t>
      </w:r>
      <w:proofErr w:type="spellEnd"/>
      <w:r w:rsidR="00482767" w:rsidRPr="00944DDE">
        <w:rPr>
          <w:rFonts w:eastAsia="Calibri"/>
          <w:kern w:val="2"/>
        </w:rPr>
        <w:t xml:space="preserve"> [</w:t>
      </w:r>
      <w:r w:rsidR="007E4C72" w:rsidRPr="00944DDE">
        <w:rPr>
          <w:rFonts w:eastAsia="Calibri"/>
          <w:kern w:val="2"/>
        </w:rPr>
        <w:t>26</w:t>
      </w:r>
      <w:r w:rsidR="00482767" w:rsidRPr="00944DDE">
        <w:rPr>
          <w:rFonts w:eastAsia="Calibri"/>
          <w:kern w:val="2"/>
        </w:rPr>
        <w:t>] indicate that greater experience with computer-based technology corr</w:t>
      </w:r>
      <w:r w:rsidR="00482767" w:rsidRPr="00944DDE">
        <w:rPr>
          <w:rFonts w:eastAsia="Calibri"/>
          <w:kern w:val="2"/>
        </w:rPr>
        <w:t>e</w:t>
      </w:r>
      <w:r w:rsidR="00482767" w:rsidRPr="00944DDE">
        <w:rPr>
          <w:rFonts w:eastAsia="Calibri"/>
          <w:kern w:val="2"/>
        </w:rPr>
        <w:t xml:space="preserve">lates with greater labor productivity. </w:t>
      </w:r>
      <w:proofErr w:type="spellStart"/>
      <w:r w:rsidRPr="006E2EC2">
        <w:rPr>
          <w:rFonts w:eastAsia="Calibri"/>
          <w:kern w:val="2"/>
        </w:rPr>
        <w:t>Charlo</w:t>
      </w:r>
      <w:proofErr w:type="spellEnd"/>
      <w:r w:rsidRPr="006E2EC2">
        <w:rPr>
          <w:rFonts w:eastAsia="Calibri"/>
          <w:kern w:val="2"/>
        </w:rPr>
        <w:t xml:space="preserve"> [27] discovered that the idea had no si</w:t>
      </w:r>
      <w:r w:rsidRPr="006E2EC2">
        <w:rPr>
          <w:rFonts w:eastAsia="Calibri"/>
          <w:kern w:val="2"/>
        </w:rPr>
        <w:t>g</w:t>
      </w:r>
      <w:r w:rsidRPr="006E2EC2">
        <w:rPr>
          <w:rFonts w:eastAsia="Calibri"/>
          <w:kern w:val="2"/>
        </w:rPr>
        <w:t>nificant effect on the Uruguayan manufacturing sector's productivity growth. Howe</w:t>
      </w:r>
      <w:r w:rsidRPr="006E2EC2">
        <w:rPr>
          <w:rFonts w:eastAsia="Calibri"/>
          <w:kern w:val="2"/>
        </w:rPr>
        <w:t>v</w:t>
      </w:r>
      <w:r w:rsidRPr="006E2EC2">
        <w:rPr>
          <w:rFonts w:eastAsia="Calibri"/>
          <w:kern w:val="2"/>
        </w:rPr>
        <w:t xml:space="preserve">er, this relationship is flipped when creativity combines with ICT investment. In a similar study, </w:t>
      </w:r>
      <w:proofErr w:type="spellStart"/>
      <w:r w:rsidRPr="006E2EC2">
        <w:rPr>
          <w:rFonts w:eastAsia="Calibri"/>
          <w:kern w:val="2"/>
        </w:rPr>
        <w:t>Koellinger</w:t>
      </w:r>
      <w:proofErr w:type="spellEnd"/>
      <w:r w:rsidRPr="006E2EC2">
        <w:rPr>
          <w:rFonts w:eastAsia="Calibri"/>
          <w:kern w:val="2"/>
        </w:rPr>
        <w:t xml:space="preserve"> [9] reported that innovative companies that invest in ICT are more likely to see an improvement in labor productivity, underscoring the importance of the synergy among ICT investment and other inputs in innovation and human cap</w:t>
      </w:r>
      <w:r w:rsidRPr="006E2EC2">
        <w:rPr>
          <w:rFonts w:eastAsia="Calibri"/>
          <w:kern w:val="2"/>
        </w:rPr>
        <w:t>i</w:t>
      </w:r>
      <w:r w:rsidRPr="006E2EC2">
        <w:rPr>
          <w:rFonts w:eastAsia="Calibri"/>
          <w:kern w:val="2"/>
        </w:rPr>
        <w:t xml:space="preserve">tal. </w:t>
      </w:r>
      <w:proofErr w:type="spellStart"/>
      <w:r w:rsidRPr="006E2EC2">
        <w:rPr>
          <w:rFonts w:eastAsia="Calibri"/>
          <w:kern w:val="2"/>
        </w:rPr>
        <w:t>Hempell</w:t>
      </w:r>
      <w:proofErr w:type="spellEnd"/>
      <w:r w:rsidRPr="006E2EC2">
        <w:rPr>
          <w:rFonts w:eastAsia="Calibri"/>
          <w:kern w:val="2"/>
        </w:rPr>
        <w:t xml:space="preserve"> [28] demonstrates the importance of combining ICT investment with innovation in order to realize a positive impact of ICT on productivity growth in the German and Dutch services industries.</w:t>
      </w:r>
    </w:p>
    <w:p w:rsidR="00482767" w:rsidRPr="00944DDE" w:rsidRDefault="00482767" w:rsidP="00F412B0">
      <w:pPr>
        <w:rPr>
          <w:rFonts w:eastAsia="Calibri"/>
          <w:kern w:val="2"/>
        </w:rPr>
      </w:pPr>
      <w:proofErr w:type="spellStart"/>
      <w:r w:rsidRPr="00944DDE">
        <w:rPr>
          <w:rFonts w:eastAsia="Calibri"/>
          <w:kern w:val="2"/>
        </w:rPr>
        <w:t>Engelstätter</w:t>
      </w:r>
      <w:proofErr w:type="spellEnd"/>
      <w:r w:rsidR="001C3FE1" w:rsidRPr="00944DDE">
        <w:rPr>
          <w:rFonts w:eastAsia="Calibri"/>
          <w:kern w:val="2"/>
        </w:rPr>
        <w:t xml:space="preserve"> [29]</w:t>
      </w:r>
      <w:r w:rsidRPr="00944DDE">
        <w:rPr>
          <w:rFonts w:eastAsia="Calibri"/>
          <w:kern w:val="2"/>
        </w:rPr>
        <w:t xml:space="preserve"> </w:t>
      </w:r>
      <w:r w:rsidR="006E2EC2" w:rsidRPr="006E2EC2">
        <w:rPr>
          <w:rFonts w:eastAsia="Calibri"/>
          <w:kern w:val="2"/>
        </w:rPr>
        <w:t>examined a variety of ICT applications to enterprise systems, i</w:t>
      </w:r>
      <w:r w:rsidR="006E2EC2" w:rsidRPr="006E2EC2">
        <w:rPr>
          <w:rFonts w:eastAsia="Calibri"/>
          <w:kern w:val="2"/>
        </w:rPr>
        <w:t>n</w:t>
      </w:r>
      <w:r w:rsidR="006E2EC2" w:rsidRPr="006E2EC2">
        <w:rPr>
          <w:rFonts w:eastAsia="Calibri"/>
          <w:kern w:val="2"/>
        </w:rPr>
        <w:t>cluding enterprise resource planning (ERP), supply chain management (SCM), cu</w:t>
      </w:r>
      <w:r w:rsidR="006E2EC2" w:rsidRPr="006E2EC2">
        <w:rPr>
          <w:rFonts w:eastAsia="Calibri"/>
          <w:kern w:val="2"/>
        </w:rPr>
        <w:t>s</w:t>
      </w:r>
      <w:r w:rsidR="006E2EC2" w:rsidRPr="006E2EC2">
        <w:rPr>
          <w:rFonts w:eastAsia="Calibri"/>
          <w:kern w:val="2"/>
        </w:rPr>
        <w:t>tomer relationship management (CRM), and labor productivity. The analysis is pred</w:t>
      </w:r>
      <w:r w:rsidR="006E2EC2" w:rsidRPr="006E2EC2">
        <w:rPr>
          <w:rFonts w:eastAsia="Calibri"/>
          <w:kern w:val="2"/>
        </w:rPr>
        <w:t>i</w:t>
      </w:r>
      <w:r w:rsidR="006E2EC2" w:rsidRPr="006E2EC2">
        <w:rPr>
          <w:rFonts w:eastAsia="Calibri"/>
          <w:kern w:val="2"/>
        </w:rPr>
        <w:t>cated on a production function and focuses on the impact of concurrent deployment of numerous business systems on productivity. The data pertain to manufacturers and service providers. Results supported the anticipated positive impact of enterprise sy</w:t>
      </w:r>
      <w:r w:rsidR="006E2EC2" w:rsidRPr="006E2EC2">
        <w:rPr>
          <w:rFonts w:eastAsia="Calibri"/>
          <w:kern w:val="2"/>
        </w:rPr>
        <w:t>s</w:t>
      </w:r>
      <w:r w:rsidR="006E2EC2" w:rsidRPr="006E2EC2">
        <w:rPr>
          <w:rFonts w:eastAsia="Calibri"/>
          <w:kern w:val="2"/>
        </w:rPr>
        <w:t xml:space="preserve">tems on worker productivity and underlined the </w:t>
      </w:r>
      <w:proofErr w:type="spellStart"/>
      <w:r w:rsidR="006E2EC2" w:rsidRPr="006E2EC2">
        <w:rPr>
          <w:rFonts w:eastAsia="Calibri"/>
          <w:kern w:val="2"/>
        </w:rPr>
        <w:t>complementarity</w:t>
      </w:r>
      <w:proofErr w:type="spellEnd"/>
      <w:r w:rsidR="006E2EC2" w:rsidRPr="006E2EC2">
        <w:rPr>
          <w:rFonts w:eastAsia="Calibri"/>
          <w:kern w:val="2"/>
        </w:rPr>
        <w:t xml:space="preserve"> between CRM and SCM, especially if the ERP system offers the required IT infrastructure.</w:t>
      </w:r>
      <w:r w:rsidRPr="00944DDE">
        <w:rPr>
          <w:rFonts w:eastAsia="Calibri"/>
          <w:kern w:val="2"/>
        </w:rPr>
        <w:t xml:space="preserve"> </w:t>
      </w:r>
      <w:proofErr w:type="spellStart"/>
      <w:r w:rsidR="001C3FE1" w:rsidRPr="00944DDE">
        <w:t>Kalwar</w:t>
      </w:r>
      <w:proofErr w:type="spellEnd"/>
      <w:r w:rsidR="001C3FE1" w:rsidRPr="00944DDE">
        <w:t xml:space="preserve"> et al. [30] </w:t>
      </w:r>
      <w:r w:rsidRPr="00944DDE">
        <w:t>compared the performance before and after implementing an ERP case study for a manufacturing company. As a result of the industrial and financial system impl</w:t>
      </w:r>
      <w:r w:rsidRPr="00944DDE">
        <w:t>e</w:t>
      </w:r>
      <w:r w:rsidRPr="00944DDE">
        <w:t xml:space="preserve">mentation in 2021, the company saved </w:t>
      </w:r>
      <w:r w:rsidR="00F412B0">
        <w:t>about 50 thousand</w:t>
      </w:r>
      <w:r w:rsidRPr="00944DDE">
        <w:t xml:space="preserve"> hours in 2021 compared with the manual approach. It reduces the average cost of a unit of production and increases economies of scale within firms. </w:t>
      </w:r>
      <w:proofErr w:type="spellStart"/>
      <w:r w:rsidRPr="00944DDE">
        <w:rPr>
          <w:rFonts w:eastAsia="Calibri"/>
          <w:kern w:val="2"/>
        </w:rPr>
        <w:t>Taştan</w:t>
      </w:r>
      <w:proofErr w:type="spellEnd"/>
      <w:r w:rsidRPr="00944DDE">
        <w:rPr>
          <w:rFonts w:eastAsia="Calibri"/>
          <w:kern w:val="2"/>
        </w:rPr>
        <w:t xml:space="preserve"> and </w:t>
      </w:r>
      <w:proofErr w:type="spellStart"/>
      <w:r w:rsidRPr="00944DDE">
        <w:rPr>
          <w:rFonts w:eastAsia="Calibri"/>
          <w:kern w:val="2"/>
        </w:rPr>
        <w:t>Gonel</w:t>
      </w:r>
      <w:proofErr w:type="spellEnd"/>
      <w:r w:rsidRPr="00944DDE">
        <w:rPr>
          <w:rFonts w:eastAsia="Calibri"/>
          <w:kern w:val="2"/>
        </w:rPr>
        <w:t xml:space="preserve"> </w:t>
      </w:r>
      <w:r w:rsidR="0087540F" w:rsidRPr="00944DDE">
        <w:rPr>
          <w:rFonts w:eastAsia="Calibri"/>
          <w:kern w:val="2"/>
        </w:rPr>
        <w:t>[3]</w:t>
      </w:r>
      <w:r w:rsidRPr="00944DDE">
        <w:rPr>
          <w:rFonts w:eastAsia="Calibri"/>
          <w:kern w:val="2"/>
        </w:rPr>
        <w:t xml:space="preserve"> evaluated the infl</w:t>
      </w:r>
      <w:r w:rsidRPr="00944DDE">
        <w:rPr>
          <w:rFonts w:eastAsia="Calibri"/>
          <w:kern w:val="2"/>
        </w:rPr>
        <w:t>u</w:t>
      </w:r>
      <w:r w:rsidRPr="00944DDE">
        <w:rPr>
          <w:rFonts w:eastAsia="Calibri"/>
          <w:kern w:val="2"/>
        </w:rPr>
        <w:t>ence of ICT information on firm-level productivity in Turkey using samples that va</w:t>
      </w:r>
      <w:r w:rsidRPr="00944DDE">
        <w:rPr>
          <w:rFonts w:eastAsia="Calibri"/>
          <w:kern w:val="2"/>
        </w:rPr>
        <w:t>r</w:t>
      </w:r>
      <w:r w:rsidRPr="00944DDE">
        <w:rPr>
          <w:rFonts w:eastAsia="Calibri"/>
          <w:kern w:val="2"/>
        </w:rPr>
        <w:t>ied by business size and industry. ICT adds more to labor productivity in enterprises that use specialist software; ICT is more elastic in small and medium-sized busines</w:t>
      </w:r>
      <w:r w:rsidRPr="00944DDE">
        <w:rPr>
          <w:rFonts w:eastAsia="Calibri"/>
          <w:kern w:val="2"/>
        </w:rPr>
        <w:t>s</w:t>
      </w:r>
      <w:r w:rsidRPr="00944DDE">
        <w:rPr>
          <w:rFonts w:eastAsia="Calibri"/>
          <w:kern w:val="2"/>
        </w:rPr>
        <w:t xml:space="preserve">es; and larger businesses have higher marginal productivity than smaller businesses. The service sector adds more ICT to worker productivity than manufacturing. </w:t>
      </w:r>
      <w:proofErr w:type="spellStart"/>
      <w:r w:rsidRPr="00944DDE">
        <w:rPr>
          <w:rFonts w:eastAsia="Calibri"/>
          <w:kern w:val="2"/>
        </w:rPr>
        <w:t>Skorupinska</w:t>
      </w:r>
      <w:proofErr w:type="spellEnd"/>
      <w:r w:rsidRPr="00944DDE">
        <w:rPr>
          <w:rFonts w:eastAsia="Calibri"/>
          <w:kern w:val="2"/>
        </w:rPr>
        <w:t xml:space="preserve"> and </w:t>
      </w:r>
      <w:proofErr w:type="spellStart"/>
      <w:r w:rsidRPr="00944DDE">
        <w:rPr>
          <w:rFonts w:eastAsia="Calibri"/>
          <w:kern w:val="2"/>
        </w:rPr>
        <w:t>Sellens</w:t>
      </w:r>
      <w:proofErr w:type="spellEnd"/>
      <w:r w:rsidRPr="00944DDE">
        <w:rPr>
          <w:rFonts w:eastAsia="Calibri"/>
          <w:kern w:val="2"/>
        </w:rPr>
        <w:t xml:space="preserve"> </w:t>
      </w:r>
      <w:r w:rsidR="0087540F" w:rsidRPr="00944DDE">
        <w:rPr>
          <w:rFonts w:eastAsia="Calibri"/>
          <w:kern w:val="2"/>
        </w:rPr>
        <w:t>[14]</w:t>
      </w:r>
      <w:r w:rsidRPr="00944DDE">
        <w:rPr>
          <w:rFonts w:eastAsia="Calibri"/>
          <w:kern w:val="2"/>
        </w:rPr>
        <w:t xml:space="preserve"> employed structural equation modeling and ordinary least squares in their research. They evaluated direct and indirect worker productivity variables in 444 Eastern European manufacturing enterprises. The primary direct predictor of labor productivity was wages. Indirectly, a connection has been demo</w:t>
      </w:r>
      <w:r w:rsidRPr="00944DDE">
        <w:rPr>
          <w:rFonts w:eastAsia="Calibri"/>
          <w:kern w:val="2"/>
        </w:rPr>
        <w:t>n</w:t>
      </w:r>
      <w:r w:rsidRPr="00944DDE">
        <w:rPr>
          <w:rFonts w:eastAsia="Calibri"/>
          <w:kern w:val="2"/>
        </w:rPr>
        <w:t xml:space="preserve">strated between ICT and its complementarities and productivity. </w:t>
      </w:r>
      <w:proofErr w:type="spellStart"/>
      <w:r w:rsidR="00F412B0" w:rsidRPr="00F412B0">
        <w:rPr>
          <w:rFonts w:eastAsia="Calibri"/>
          <w:kern w:val="2"/>
        </w:rPr>
        <w:t>Brynjolfsson</w:t>
      </w:r>
      <w:proofErr w:type="spellEnd"/>
      <w:r w:rsidR="00F412B0" w:rsidRPr="00F412B0">
        <w:rPr>
          <w:rFonts w:eastAsia="Calibri"/>
          <w:kern w:val="2"/>
        </w:rPr>
        <w:t xml:space="preserve"> and </w:t>
      </w:r>
      <w:proofErr w:type="spellStart"/>
      <w:r w:rsidR="00F412B0" w:rsidRPr="00F412B0">
        <w:rPr>
          <w:rFonts w:eastAsia="Calibri"/>
          <w:kern w:val="2"/>
        </w:rPr>
        <w:t>Hitt</w:t>
      </w:r>
      <w:proofErr w:type="spellEnd"/>
      <w:r w:rsidR="00F412B0" w:rsidRPr="00F412B0">
        <w:rPr>
          <w:rFonts w:eastAsia="Calibri"/>
          <w:kern w:val="2"/>
        </w:rPr>
        <w:t xml:space="preserve"> [31] examined the link between computer expenditures and growth in production and MFP at 527 large U.S. firms using traditional growth accounting and performance assessment approaches. In the short term (one year), computerization's impact on production and output growth was roughly comparable to its cost. However, the i</w:t>
      </w:r>
      <w:r w:rsidR="00F412B0" w:rsidRPr="00F412B0">
        <w:rPr>
          <w:rFonts w:eastAsia="Calibri"/>
          <w:kern w:val="2"/>
        </w:rPr>
        <w:t>m</w:t>
      </w:r>
      <w:r w:rsidR="00F412B0" w:rsidRPr="00F412B0">
        <w:rPr>
          <w:rFonts w:eastAsia="Calibri"/>
          <w:kern w:val="2"/>
        </w:rPr>
        <w:t>pact of ICT was approximately five times stronger over longer periods of time (5 to 7 years). Conclusion: Long-term investments in complementary resources, such as o</w:t>
      </w:r>
      <w:r w:rsidR="00F412B0" w:rsidRPr="00F412B0">
        <w:rPr>
          <w:rFonts w:eastAsia="Calibri"/>
          <w:kern w:val="2"/>
        </w:rPr>
        <w:t>r</w:t>
      </w:r>
      <w:r w:rsidR="00F412B0" w:rsidRPr="00F412B0">
        <w:rPr>
          <w:rFonts w:eastAsia="Calibri"/>
          <w:kern w:val="2"/>
        </w:rPr>
        <w:t>ganizational capital, are essential for ICTs to produce productivity gains.</w:t>
      </w:r>
      <w:r w:rsidRPr="00944DDE">
        <w:rPr>
          <w:rFonts w:eastAsia="Calibri"/>
          <w:kern w:val="2"/>
        </w:rPr>
        <w:t xml:space="preserve"> </w:t>
      </w:r>
      <w:proofErr w:type="spellStart"/>
      <w:r w:rsidRPr="00944DDE">
        <w:rPr>
          <w:rFonts w:eastAsia="Calibri"/>
          <w:kern w:val="2"/>
        </w:rPr>
        <w:t>Reenen's</w:t>
      </w:r>
      <w:proofErr w:type="spellEnd"/>
      <w:r w:rsidRPr="00944DDE">
        <w:rPr>
          <w:rFonts w:eastAsia="Calibri"/>
          <w:kern w:val="2"/>
        </w:rPr>
        <w:t xml:space="preserve"> </w:t>
      </w:r>
      <w:r w:rsidR="0087540F" w:rsidRPr="00944DDE">
        <w:rPr>
          <w:rFonts w:eastAsia="Calibri"/>
          <w:kern w:val="2"/>
        </w:rPr>
        <w:t>[8]</w:t>
      </w:r>
      <w:r w:rsidRPr="00944DDE">
        <w:rPr>
          <w:rFonts w:eastAsia="Calibri"/>
          <w:kern w:val="2"/>
        </w:rPr>
        <w:t xml:space="preserve"> study examines the influence of ICT capital on worker productivity in 13 European nations from 1998 to 2008. The data is collected at the business level and spans the years 1998 to 2008. It was discovered that a 10% increase in ICT capital might result in a 0.9% to 0.23% rise in output, underlining the relevance of ICT for economic growth. </w:t>
      </w:r>
      <w:r w:rsidRPr="00944DDE">
        <w:rPr>
          <w:rFonts w:eastAsia="Calibri"/>
          <w:kern w:val="2"/>
          <w:cs/>
        </w:rPr>
        <w:t>‎</w:t>
      </w:r>
    </w:p>
    <w:p w:rsidR="00482767" w:rsidRPr="00944DDE" w:rsidRDefault="00482767" w:rsidP="00482767">
      <w:pPr>
        <w:rPr>
          <w:rFonts w:eastAsia="Calibri"/>
          <w:kern w:val="2"/>
        </w:rPr>
      </w:pPr>
      <w:r w:rsidRPr="00944DDE">
        <w:rPr>
          <w:rFonts w:eastAsia="Calibri"/>
          <w:kern w:val="2"/>
        </w:rPr>
        <w:t>This study's objective is to examine the hypothesis that there is a positive relatio</w:t>
      </w:r>
      <w:r w:rsidRPr="00944DDE">
        <w:rPr>
          <w:rFonts w:eastAsia="Calibri"/>
          <w:kern w:val="2"/>
        </w:rPr>
        <w:t>n</w:t>
      </w:r>
      <w:r w:rsidRPr="00944DDE">
        <w:rPr>
          <w:rFonts w:eastAsia="Calibri"/>
          <w:kern w:val="2"/>
        </w:rPr>
        <w:t>ship between ICT and worker productivity in the Palestinian industrial sector.</w:t>
      </w:r>
    </w:p>
    <w:p w:rsidR="00482767" w:rsidRPr="00944DDE" w:rsidRDefault="00482767" w:rsidP="00482767">
      <w:pPr>
        <w:pStyle w:val="heading1"/>
        <w:rPr>
          <w:rFonts w:eastAsia="Calibri"/>
        </w:rPr>
      </w:pPr>
      <w:r w:rsidRPr="00944DDE">
        <w:rPr>
          <w:rFonts w:eastAsia="Calibri"/>
        </w:rPr>
        <w:t>Methodology</w:t>
      </w:r>
    </w:p>
    <w:p w:rsidR="00482767" w:rsidRPr="00944DDE" w:rsidRDefault="00482767" w:rsidP="00482767">
      <w:pPr>
        <w:pStyle w:val="heading2"/>
        <w:spacing w:before="0"/>
      </w:pPr>
      <w:r w:rsidRPr="00944DDE">
        <w:t>Data and Sample</w:t>
      </w:r>
    </w:p>
    <w:p w:rsidR="00482767" w:rsidRPr="00944DDE" w:rsidRDefault="00482767" w:rsidP="00482767">
      <w:pPr>
        <w:pStyle w:val="p1a"/>
        <w:rPr>
          <w:rFonts w:eastAsia="Calibri"/>
        </w:rPr>
      </w:pPr>
      <w:r w:rsidRPr="00944DDE">
        <w:rPr>
          <w:rFonts w:eastAsia="Calibri"/>
          <w:lang w:bidi="ar-JO"/>
        </w:rPr>
        <w:t>The data of this study was extracted from the economic survey series conducted by PCBS for the years 2013 through 2018</w:t>
      </w:r>
      <w:r w:rsidR="007C36EB">
        <w:rPr>
          <w:rFonts w:eastAsia="Calibri"/>
          <w:lang w:bidi="ar-JO"/>
        </w:rPr>
        <w:t>, the last year available for the establishment survey</w:t>
      </w:r>
      <w:r w:rsidRPr="00944DDE">
        <w:rPr>
          <w:rFonts w:eastAsia="Calibri"/>
          <w:lang w:bidi="ar-JO"/>
        </w:rPr>
        <w:t>. In</w:t>
      </w:r>
      <w:r w:rsidRPr="00944DDE">
        <w:rPr>
          <w:rFonts w:eastAsia="Calibri"/>
        </w:rPr>
        <w:t xml:space="preserve"> the sample, all manufacturing firms in Palestine for the years 2013- 2018 was utilized except firms that did not have data needed</w:t>
      </w:r>
      <w:r w:rsidRPr="00944DDE">
        <w:rPr>
          <w:rFonts w:eastAsia="Calibri"/>
          <w:lang w:bidi="ar-JO"/>
        </w:rPr>
        <w:t xml:space="preserve">. </w:t>
      </w:r>
      <w:r w:rsidRPr="00944DDE">
        <w:rPr>
          <w:rFonts w:eastAsia="Calibri"/>
        </w:rPr>
        <w:t>The total observations of the study were 9972 detailed in Table 2.</w:t>
      </w:r>
    </w:p>
    <w:p w:rsidR="00482767" w:rsidRPr="00944DDE" w:rsidRDefault="00482767" w:rsidP="00482767">
      <w:pPr>
        <w:pStyle w:val="heading2"/>
        <w:rPr>
          <w:rFonts w:eastAsia="Calibri"/>
          <w:lang w:bidi="ar-JO"/>
        </w:rPr>
      </w:pPr>
      <w:bookmarkStart w:id="1" w:name="_Toc112520532"/>
      <w:bookmarkStart w:id="2" w:name="_Toc84599461"/>
      <w:bookmarkStart w:id="3" w:name="_Toc114689722"/>
      <w:r w:rsidRPr="00944DDE">
        <w:rPr>
          <w:rFonts w:eastAsia="Calibri"/>
          <w:lang w:bidi="ar-JO"/>
        </w:rPr>
        <w:t>Variables and Model</w:t>
      </w:r>
      <w:bookmarkEnd w:id="1"/>
      <w:bookmarkEnd w:id="2"/>
      <w:bookmarkEnd w:id="3"/>
    </w:p>
    <w:p w:rsidR="00482767" w:rsidRPr="00944DDE" w:rsidRDefault="00482767" w:rsidP="0087540F">
      <w:pPr>
        <w:pStyle w:val="p1a"/>
        <w:rPr>
          <w:rFonts w:eastAsia="Calibri"/>
        </w:rPr>
      </w:pPr>
      <w:r w:rsidRPr="00944DDE">
        <w:rPr>
          <w:rFonts w:eastAsia="Calibri"/>
        </w:rPr>
        <w:t xml:space="preserve">The model of labor productivity has been developed for empirical analysis based on main papers in the literature </w:t>
      </w:r>
      <w:r w:rsidR="0087540F" w:rsidRPr="00944DDE">
        <w:rPr>
          <w:rFonts w:eastAsia="Calibri"/>
        </w:rPr>
        <w:t>[3, 5,</w:t>
      </w:r>
      <w:r w:rsidRPr="00944DDE">
        <w:rPr>
          <w:rFonts w:eastAsia="Calibri"/>
        </w:rPr>
        <w:t xml:space="preserve"> </w:t>
      </w:r>
      <w:r w:rsidR="0087540F" w:rsidRPr="00944DDE">
        <w:rPr>
          <w:rFonts w:eastAsia="Calibri"/>
        </w:rPr>
        <w:t>14,</w:t>
      </w:r>
      <w:r w:rsidRPr="00944DDE">
        <w:rPr>
          <w:rFonts w:eastAsia="Calibri"/>
        </w:rPr>
        <w:t xml:space="preserve"> </w:t>
      </w:r>
      <w:proofErr w:type="gramStart"/>
      <w:r w:rsidR="0087540F" w:rsidRPr="00944DDE">
        <w:rPr>
          <w:rFonts w:eastAsia="Calibri"/>
        </w:rPr>
        <w:t>15</w:t>
      </w:r>
      <w:proofErr w:type="gramEnd"/>
      <w:r w:rsidR="0087540F" w:rsidRPr="00944DDE">
        <w:rPr>
          <w:rFonts w:eastAsia="Calibri"/>
        </w:rPr>
        <w:t xml:space="preserve">] </w:t>
      </w:r>
      <w:r w:rsidRPr="00944DDE">
        <w:rPr>
          <w:rFonts w:eastAsia="Calibri"/>
        </w:rPr>
        <w:t>as follows:</w:t>
      </w:r>
    </w:p>
    <w:p w:rsidR="00482767" w:rsidRPr="00944DDE" w:rsidRDefault="00482767" w:rsidP="00275170">
      <w:pPr>
        <w:pStyle w:val="equation"/>
        <w:rPr>
          <w:rFonts w:eastAsia="Calibri"/>
        </w:rPr>
      </w:pPr>
      <w:r w:rsidRPr="00944DDE">
        <w:rPr>
          <w:rFonts w:eastAsia="Calibri"/>
        </w:rPr>
        <w:tab/>
      </w:r>
      <w:proofErr w:type="spellStart"/>
      <w:r w:rsidRPr="00944DDE">
        <w:rPr>
          <w:rFonts w:eastAsia="Calibri"/>
        </w:rPr>
        <w:t>Ln</w:t>
      </w:r>
      <w:proofErr w:type="spellEnd"/>
      <w:r w:rsidRPr="00944DDE">
        <w:rPr>
          <w:rFonts w:eastAsia="Calibri"/>
        </w:rPr>
        <w:t xml:space="preserve"> (Q/L)</w:t>
      </w:r>
      <w:r w:rsidRPr="00944DDE">
        <w:rPr>
          <w:rFonts w:ascii="Tahoma" w:eastAsia="Calibri" w:hAnsi="Tahoma" w:cs="Tahoma"/>
        </w:rPr>
        <w:t>﻿</w:t>
      </w:r>
      <w:r w:rsidRPr="00944DDE">
        <w:rPr>
          <w:rFonts w:eastAsia="Calibri"/>
        </w:rPr>
        <w:t>=</w:t>
      </w:r>
      <w:r w:rsidRPr="00944DDE">
        <w:rPr>
          <w:rFonts w:ascii="Tahoma" w:eastAsia="Calibri" w:hAnsi="Tahoma" w:cs="Tahoma"/>
        </w:rPr>
        <w:t>﻿</w:t>
      </w:r>
      <w:r w:rsidRPr="00944DDE">
        <w:rPr>
          <w:rFonts w:eastAsia="Calibri"/>
        </w:rPr>
        <w:t>B</w:t>
      </w:r>
      <w:r w:rsidRPr="00944DDE">
        <w:rPr>
          <w:rFonts w:eastAsia="Calibri"/>
          <w:vertAlign w:val="subscript"/>
        </w:rPr>
        <w:t>0</w:t>
      </w:r>
      <w:r w:rsidRPr="00944DDE">
        <w:rPr>
          <w:rFonts w:ascii="Tahoma" w:eastAsia="Calibri" w:hAnsi="Tahoma" w:cs="Tahoma"/>
        </w:rPr>
        <w:t>﻿</w:t>
      </w:r>
      <w:r w:rsidR="00C3134E">
        <w:rPr>
          <w:rFonts w:ascii="Tahoma" w:eastAsia="Calibri" w:hAnsi="Tahoma" w:cs="Tahoma"/>
        </w:rPr>
        <w:t xml:space="preserve"> </w:t>
      </w:r>
      <w:r w:rsidRPr="00944DDE">
        <w:rPr>
          <w:rFonts w:eastAsia="Calibri"/>
        </w:rPr>
        <w:t>+</w:t>
      </w:r>
      <w:r w:rsidRPr="00944DDE">
        <w:rPr>
          <w:rFonts w:ascii="Tahoma" w:eastAsia="Calibri" w:hAnsi="Tahoma" w:cs="Tahoma"/>
        </w:rPr>
        <w:t>﻿</w:t>
      </w:r>
      <w:r w:rsidRPr="00944DDE">
        <w:rPr>
          <w:rFonts w:eastAsia="Calibri"/>
        </w:rPr>
        <w:t>B1</w:t>
      </w:r>
      <w:r w:rsidRPr="00944DDE">
        <w:rPr>
          <w:rFonts w:eastAsia="Calibri"/>
          <w:rtl/>
        </w:rPr>
        <w:t>*</w:t>
      </w:r>
      <w:r w:rsidRPr="00944DDE">
        <w:rPr>
          <w:rFonts w:eastAsia="Calibri"/>
        </w:rPr>
        <w:t>(Computer consulting services)</w:t>
      </w:r>
      <w:r w:rsidR="00C3134E">
        <w:rPr>
          <w:rFonts w:eastAsia="Calibri"/>
        </w:rPr>
        <w:t>+</w:t>
      </w:r>
      <w:r w:rsidRPr="00944DDE">
        <w:rPr>
          <w:rFonts w:eastAsia="Calibri"/>
        </w:rPr>
        <w:t xml:space="preserve"> B</w:t>
      </w:r>
      <w:r w:rsidRPr="00944DDE">
        <w:rPr>
          <w:rFonts w:eastAsia="Calibri"/>
          <w:vertAlign w:val="subscript"/>
        </w:rPr>
        <w:t>2</w:t>
      </w:r>
      <w:r w:rsidRPr="00944DDE">
        <w:rPr>
          <w:rFonts w:eastAsia="Calibri"/>
        </w:rPr>
        <w:t xml:space="preserve">*(Databases) </w:t>
      </w:r>
      <w:r w:rsidRPr="00944DDE">
        <w:rPr>
          <w:rFonts w:ascii="Tahoma" w:eastAsia="Calibri" w:hAnsi="Tahoma" w:cs="Tahoma"/>
        </w:rPr>
        <w:t>﻿</w:t>
      </w:r>
      <w:r w:rsidRPr="00944DDE">
        <w:rPr>
          <w:rFonts w:eastAsia="Calibri"/>
        </w:rPr>
        <w:t>+</w:t>
      </w:r>
      <w:r w:rsidRPr="00944DDE">
        <w:rPr>
          <w:rFonts w:ascii="Tahoma" w:eastAsia="Calibri" w:hAnsi="Tahoma" w:cs="Tahoma"/>
        </w:rPr>
        <w:t>﻿</w:t>
      </w:r>
      <w:r w:rsidRPr="00944DDE">
        <w:rPr>
          <w:rFonts w:eastAsia="Calibri"/>
        </w:rPr>
        <w:t xml:space="preserve"> B</w:t>
      </w:r>
      <w:r w:rsidRPr="00944DDE">
        <w:rPr>
          <w:rFonts w:eastAsia="Calibri"/>
          <w:vertAlign w:val="subscript"/>
        </w:rPr>
        <w:t>3</w:t>
      </w:r>
      <w:r w:rsidRPr="00944DDE">
        <w:rPr>
          <w:rFonts w:eastAsia="Calibri"/>
        </w:rPr>
        <w:t>*(R&amp;D) +</w:t>
      </w:r>
      <w:r w:rsidRPr="00944DDE">
        <w:rPr>
          <w:rFonts w:ascii="Tahoma" w:eastAsia="Calibri" w:hAnsi="Tahoma" w:cs="Tahoma"/>
        </w:rPr>
        <w:t>﻿</w:t>
      </w:r>
      <w:r w:rsidRPr="00944DDE">
        <w:rPr>
          <w:rFonts w:eastAsia="Calibri"/>
        </w:rPr>
        <w:t>B</w:t>
      </w:r>
      <w:r w:rsidRPr="00944DDE">
        <w:rPr>
          <w:rFonts w:eastAsia="Calibri"/>
          <w:vertAlign w:val="subscript"/>
        </w:rPr>
        <w:t>4</w:t>
      </w:r>
      <w:r w:rsidRPr="00944DDE">
        <w:rPr>
          <w:rFonts w:eastAsia="Calibri"/>
          <w:rtl/>
        </w:rPr>
        <w:t>*</w:t>
      </w:r>
      <w:r w:rsidRPr="00944DDE">
        <w:rPr>
          <w:rFonts w:eastAsia="Calibri"/>
        </w:rPr>
        <w:t>(Computer</w:t>
      </w:r>
      <w:r w:rsidRPr="00944DDE">
        <w:rPr>
          <w:rFonts w:ascii="Tahoma" w:eastAsia="Calibri" w:hAnsi="Tahoma" w:cs="Tahoma"/>
        </w:rPr>
        <w:t>﻿</w:t>
      </w:r>
      <w:r w:rsidRPr="00944DDE">
        <w:rPr>
          <w:rFonts w:eastAsia="Calibri"/>
        </w:rPr>
        <w:t xml:space="preserve"> program) </w:t>
      </w:r>
      <w:r w:rsidRPr="00944DDE">
        <w:rPr>
          <w:rFonts w:ascii="Tahoma" w:eastAsia="Calibri" w:hAnsi="Tahoma" w:cs="Tahoma"/>
        </w:rPr>
        <w:t>﻿﻿</w:t>
      </w:r>
      <w:r w:rsidRPr="00944DDE">
        <w:rPr>
          <w:rFonts w:eastAsia="Calibri"/>
        </w:rPr>
        <w:t>+</w:t>
      </w:r>
      <w:r w:rsidRPr="00944DDE">
        <w:rPr>
          <w:rFonts w:ascii="Tahoma" w:eastAsia="Calibri" w:hAnsi="Tahoma" w:cs="Tahoma"/>
        </w:rPr>
        <w:t>﻿</w:t>
      </w:r>
      <w:r w:rsidRPr="00944DDE">
        <w:rPr>
          <w:rFonts w:eastAsia="Calibri"/>
        </w:rPr>
        <w:t>B</w:t>
      </w:r>
      <w:r w:rsidRPr="00944DDE">
        <w:rPr>
          <w:rFonts w:eastAsia="Calibri"/>
          <w:vertAlign w:val="subscript"/>
        </w:rPr>
        <w:t xml:space="preserve">5 </w:t>
      </w:r>
      <w:r w:rsidRPr="00944DDE">
        <w:rPr>
          <w:rFonts w:eastAsia="Calibri"/>
          <w:rtl/>
        </w:rPr>
        <w:t>*</w:t>
      </w:r>
      <w:r w:rsidRPr="00944DDE">
        <w:rPr>
          <w:rFonts w:eastAsia="Calibri"/>
        </w:rPr>
        <w:t xml:space="preserve">(Advertising ) </w:t>
      </w:r>
      <w:r w:rsidRPr="00944DDE">
        <w:rPr>
          <w:rFonts w:ascii="Tahoma" w:eastAsia="Calibri" w:hAnsi="Tahoma" w:cs="Tahoma"/>
        </w:rPr>
        <w:t>﻿</w:t>
      </w:r>
      <w:r w:rsidRPr="00944DDE">
        <w:rPr>
          <w:rFonts w:eastAsia="Calibri"/>
        </w:rPr>
        <w:t>+</w:t>
      </w:r>
      <w:r w:rsidRPr="00944DDE">
        <w:rPr>
          <w:rFonts w:ascii="Tahoma" w:eastAsia="Calibri" w:hAnsi="Tahoma" w:cs="Tahoma"/>
        </w:rPr>
        <w:t>﻿</w:t>
      </w:r>
      <w:r w:rsidRPr="00944DDE">
        <w:rPr>
          <w:rFonts w:eastAsia="Calibri"/>
        </w:rPr>
        <w:t xml:space="preserve"> B</w:t>
      </w:r>
      <w:r w:rsidRPr="00944DDE">
        <w:rPr>
          <w:rFonts w:eastAsia="Calibri"/>
          <w:vertAlign w:val="subscript"/>
        </w:rPr>
        <w:t>6</w:t>
      </w:r>
      <w:r w:rsidRPr="00944DDE">
        <w:rPr>
          <w:rFonts w:eastAsia="Calibri"/>
        </w:rPr>
        <w:t xml:space="preserve"> *</w:t>
      </w:r>
      <w:proofErr w:type="spellStart"/>
      <w:r w:rsidRPr="00944DDE">
        <w:rPr>
          <w:rFonts w:eastAsia="Calibri"/>
        </w:rPr>
        <w:t>ln</w:t>
      </w:r>
      <w:proofErr w:type="spellEnd"/>
      <w:r w:rsidRPr="00944DDE">
        <w:rPr>
          <w:rFonts w:eastAsia="Calibri"/>
        </w:rPr>
        <w:t>(Capital intensity) +B</w:t>
      </w:r>
      <w:r w:rsidRPr="00944DDE">
        <w:rPr>
          <w:rFonts w:eastAsia="Calibri"/>
          <w:vertAlign w:val="subscript"/>
        </w:rPr>
        <w:t>7</w:t>
      </w:r>
      <w:r w:rsidRPr="00944DDE">
        <w:rPr>
          <w:rFonts w:eastAsia="Calibri"/>
        </w:rPr>
        <w:t xml:space="preserve">* </w:t>
      </w:r>
      <w:proofErr w:type="spellStart"/>
      <w:r w:rsidRPr="00944DDE">
        <w:rPr>
          <w:rFonts w:eastAsia="Calibri"/>
        </w:rPr>
        <w:t>ln</w:t>
      </w:r>
      <w:proofErr w:type="spellEnd"/>
      <w:r w:rsidRPr="00944DDE">
        <w:rPr>
          <w:rFonts w:eastAsia="Calibri"/>
        </w:rPr>
        <w:t xml:space="preserve">(labor wage) </w:t>
      </w:r>
      <w:r w:rsidRPr="00944DDE">
        <w:rPr>
          <w:rFonts w:ascii="Tahoma" w:eastAsia="Calibri" w:hAnsi="Tahoma" w:cs="Tahoma"/>
        </w:rPr>
        <w:t>﻿﻿</w:t>
      </w:r>
      <w:r w:rsidRPr="00944DDE">
        <w:rPr>
          <w:rFonts w:eastAsia="Calibri"/>
        </w:rPr>
        <w:t>+</w:t>
      </w:r>
      <w:r w:rsidRPr="00944DDE">
        <w:rPr>
          <w:rFonts w:ascii="Tahoma" w:eastAsia="Calibri" w:hAnsi="Tahoma" w:cs="Tahoma"/>
        </w:rPr>
        <w:t>﻿﻿</w:t>
      </w:r>
      <w:r w:rsidRPr="00944DDE">
        <w:rPr>
          <w:rFonts w:eastAsia="Calibri"/>
        </w:rPr>
        <w:t xml:space="preserve"> B</w:t>
      </w:r>
      <w:r w:rsidRPr="00944DDE">
        <w:rPr>
          <w:rFonts w:eastAsia="Calibri"/>
          <w:vertAlign w:val="subscript"/>
        </w:rPr>
        <w:t>8</w:t>
      </w:r>
      <w:r w:rsidRPr="00944DDE">
        <w:rPr>
          <w:rFonts w:eastAsia="Calibri"/>
        </w:rPr>
        <w:t xml:space="preserve"> </w:t>
      </w:r>
      <w:proofErr w:type="spellStart"/>
      <w:r w:rsidRPr="00944DDE">
        <w:rPr>
          <w:rFonts w:eastAsia="Calibri"/>
        </w:rPr>
        <w:t>ln</w:t>
      </w:r>
      <w:proofErr w:type="spellEnd"/>
      <w:r w:rsidRPr="00944DDE">
        <w:rPr>
          <w:rFonts w:eastAsia="Calibri"/>
        </w:rPr>
        <w:t>(Size)</w:t>
      </w:r>
      <w:r w:rsidRPr="00944DDE">
        <w:rPr>
          <w:rFonts w:ascii="Tahoma" w:eastAsia="Calibri" w:hAnsi="Tahoma" w:cs="Tahoma"/>
        </w:rPr>
        <w:t>﻿﻿</w:t>
      </w:r>
      <w:r w:rsidRPr="00944DDE">
        <w:rPr>
          <w:rFonts w:eastAsia="Calibri"/>
        </w:rPr>
        <w:t>+</w:t>
      </w:r>
      <w:r w:rsidRPr="00944DDE">
        <w:rPr>
          <w:rFonts w:ascii="Tahoma" w:eastAsia="Calibri" w:hAnsi="Tahoma" w:cs="Tahoma"/>
        </w:rPr>
        <w:t>﻿</w:t>
      </w:r>
      <w:r w:rsidRPr="00944DDE">
        <w:rPr>
          <w:rFonts w:eastAsia="Calibri"/>
        </w:rPr>
        <w:t>B</w:t>
      </w:r>
      <w:r w:rsidRPr="00944DDE">
        <w:rPr>
          <w:rFonts w:eastAsia="Calibri"/>
          <w:vertAlign w:val="subscript"/>
        </w:rPr>
        <w:t>9</w:t>
      </w:r>
      <w:r w:rsidRPr="00944DDE">
        <w:rPr>
          <w:rFonts w:eastAsia="Calibri"/>
        </w:rPr>
        <w:t xml:space="preserve"> *(Gaza</w:t>
      </w:r>
      <w:r w:rsidRPr="00944DDE">
        <w:rPr>
          <w:rFonts w:ascii="Tahoma" w:eastAsia="Calibri" w:hAnsi="Tahoma" w:cs="Tahoma"/>
        </w:rPr>
        <w:t>﻿</w:t>
      </w:r>
      <w:r w:rsidRPr="00944DDE">
        <w:rPr>
          <w:rFonts w:eastAsia="Calibri"/>
        </w:rPr>
        <w:t>)</w:t>
      </w:r>
      <w:r w:rsidRPr="00944DDE">
        <w:rPr>
          <w:rFonts w:ascii="Tahoma" w:eastAsia="Calibri" w:hAnsi="Tahoma" w:cs="Tahoma"/>
        </w:rPr>
        <w:t>﻿﻿</w:t>
      </w:r>
      <w:r w:rsidRPr="00944DDE">
        <w:rPr>
          <w:rFonts w:eastAsia="Calibri"/>
        </w:rPr>
        <w:t>+</w:t>
      </w:r>
      <w:r w:rsidR="00275170">
        <w:rPr>
          <w:rFonts w:eastAsia="Calibri"/>
        </w:rPr>
        <w:t xml:space="preserve"> </w:t>
      </w:r>
      <w:r w:rsidRPr="00944DDE">
        <w:rPr>
          <w:rFonts w:ascii="Tahoma" w:eastAsia="Calibri" w:hAnsi="Tahoma" w:cs="Tahoma"/>
        </w:rPr>
        <w:t>﻿</w:t>
      </w:r>
      <w:proofErr w:type="spellStart"/>
      <w:r w:rsidRPr="00944DDE">
        <w:rPr>
          <w:rFonts w:eastAsia="Calibri"/>
        </w:rPr>
        <w:t>Ui</w:t>
      </w:r>
      <w:proofErr w:type="spellEnd"/>
      <w:r w:rsidRPr="00944DDE">
        <w:rPr>
          <w:rFonts w:eastAsia="Calibri"/>
        </w:rPr>
        <w:tab/>
        <w:t>(</w:t>
      </w:r>
      <w:fldSimple w:instr=" SEQ &quot;equation&quot; \n \* MERGEFORMAT ">
        <w:r w:rsidR="002827AF">
          <w:rPr>
            <w:rFonts w:eastAsia="Calibri"/>
            <w:noProof/>
          </w:rPr>
          <w:t>1</w:t>
        </w:r>
      </w:fldSimple>
      <w:r w:rsidRPr="00944DDE">
        <w:rPr>
          <w:rFonts w:eastAsia="Calibri"/>
        </w:rPr>
        <w:t>)</w:t>
      </w:r>
    </w:p>
    <w:p w:rsidR="00482767" w:rsidRPr="00944DDE" w:rsidRDefault="00482767" w:rsidP="0087540F">
      <w:pPr>
        <w:pStyle w:val="p1a"/>
        <w:rPr>
          <w:rFonts w:eastAsia="Calibri"/>
        </w:rPr>
      </w:pPr>
      <w:r w:rsidRPr="00944DDE">
        <w:rPr>
          <w:rFonts w:eastAsia="Calibri"/>
        </w:rPr>
        <w:t xml:space="preserve">The variables of the study presented in Table 1 were based on previous literature </w:t>
      </w:r>
      <w:r w:rsidR="0087540F" w:rsidRPr="00944DDE">
        <w:rPr>
          <w:rFonts w:eastAsia="Calibri"/>
        </w:rPr>
        <w:t>[3, 5,</w:t>
      </w:r>
      <w:r w:rsidRPr="00944DDE">
        <w:rPr>
          <w:rFonts w:eastAsia="Calibri"/>
        </w:rPr>
        <w:t xml:space="preserve"> </w:t>
      </w:r>
      <w:r w:rsidR="0087540F" w:rsidRPr="00944DDE">
        <w:rPr>
          <w:rFonts w:eastAsia="Calibri"/>
        </w:rPr>
        <w:t>14,</w:t>
      </w:r>
      <w:r w:rsidRPr="00944DDE">
        <w:rPr>
          <w:rFonts w:eastAsia="Calibri"/>
        </w:rPr>
        <w:t xml:space="preserve"> </w:t>
      </w:r>
      <w:proofErr w:type="gramStart"/>
      <w:r w:rsidR="0087540F" w:rsidRPr="00944DDE">
        <w:rPr>
          <w:rFonts w:eastAsia="Calibri"/>
        </w:rPr>
        <w:t>15</w:t>
      </w:r>
      <w:proofErr w:type="gramEnd"/>
      <w:r w:rsidR="0087540F" w:rsidRPr="00944DDE">
        <w:rPr>
          <w:rFonts w:eastAsia="Calibri"/>
        </w:rPr>
        <w:t>]</w:t>
      </w:r>
      <w:r w:rsidRPr="00944DDE">
        <w:rPr>
          <w:rFonts w:eastAsia="Calibri"/>
        </w:rPr>
        <w:t>.</w:t>
      </w:r>
    </w:p>
    <w:p w:rsidR="00482767" w:rsidRPr="00944DDE" w:rsidRDefault="00482767" w:rsidP="00482767">
      <w:pPr>
        <w:pStyle w:val="tablecaption"/>
        <w:rPr>
          <w:rFonts w:eastAsia="Calibri"/>
          <w:noProof/>
        </w:rPr>
      </w:pPr>
      <w:proofErr w:type="gramStart"/>
      <w:r w:rsidRPr="00944DDE">
        <w:rPr>
          <w:rFonts w:eastAsia="Calibri"/>
          <w:b/>
        </w:rPr>
        <w:t xml:space="preserve">Table </w:t>
      </w:r>
      <w:fldSimple w:instr=" SEQ &quot;Table&quot; \* MERGEFORMAT ">
        <w:r w:rsidR="002827AF">
          <w:rPr>
            <w:rFonts w:eastAsia="Calibri"/>
            <w:b/>
            <w:noProof/>
          </w:rPr>
          <w:t>1</w:t>
        </w:r>
      </w:fldSimple>
      <w:r w:rsidRPr="00944DDE">
        <w:rPr>
          <w:rFonts w:eastAsia="Calibri"/>
          <w:b/>
        </w:rPr>
        <w:t>.</w:t>
      </w:r>
      <w:proofErr w:type="gramEnd"/>
      <w:r w:rsidRPr="00944DDE">
        <w:rPr>
          <w:rFonts w:eastAsia="Calibri"/>
        </w:rPr>
        <w:t xml:space="preserve"> Measurement</w:t>
      </w:r>
      <w:r w:rsidRPr="00944DDE">
        <w:rPr>
          <w:rFonts w:eastAsia="Calibri"/>
          <w:noProof/>
        </w:rPr>
        <w:t xml:space="preserve"> and Definitions of Variables</w:t>
      </w:r>
    </w:p>
    <w:tbl>
      <w:tblPr>
        <w:tblStyle w:val="TableGrid1"/>
        <w:tblW w:w="5000" w:type="pct"/>
        <w:tblLook w:val="04A0"/>
      </w:tblPr>
      <w:tblGrid>
        <w:gridCol w:w="1645"/>
        <w:gridCol w:w="5489"/>
      </w:tblGrid>
      <w:tr w:rsidR="00DD4BA4" w:rsidRPr="00944DDE" w:rsidTr="005647EC">
        <w:trPr>
          <w:trHeight w:val="20"/>
        </w:trPr>
        <w:tc>
          <w:tcPr>
            <w:tcW w:w="1153" w:type="pct"/>
            <w:tcBorders>
              <w:top w:val="single" w:sz="4" w:space="0" w:color="auto"/>
              <w:left w:val="single" w:sz="4" w:space="0" w:color="auto"/>
              <w:bottom w:val="single" w:sz="4" w:space="0" w:color="auto"/>
              <w:right w:val="single" w:sz="4" w:space="0" w:color="auto"/>
            </w:tcBorders>
            <w:shd w:val="clear" w:color="auto" w:fill="D9D9D9"/>
            <w:hideMark/>
          </w:tcPr>
          <w:p w:rsidR="00482767" w:rsidRPr="00944DDE" w:rsidRDefault="00482767" w:rsidP="00482767">
            <w:pPr>
              <w:overflowPunct/>
              <w:autoSpaceDE/>
              <w:autoSpaceDN/>
              <w:adjustRightInd/>
              <w:ind w:firstLine="0"/>
              <w:jc w:val="center"/>
              <w:textAlignment w:val="auto"/>
              <w:rPr>
                <w:rFonts w:ascii="Times New Roman" w:hAnsi="Times New Roman" w:cs="Times New Roman"/>
                <w:sz w:val="20"/>
                <w:szCs w:val="20"/>
                <w:rtl/>
              </w:rPr>
            </w:pPr>
            <w:r w:rsidRPr="00944DDE">
              <w:rPr>
                <w:rFonts w:ascii="Times New Roman" w:hAnsi="Times New Roman" w:cs="Times New Roman"/>
                <w:sz w:val="20"/>
                <w:szCs w:val="20"/>
              </w:rPr>
              <w:t>Variable</w:t>
            </w:r>
          </w:p>
        </w:tc>
        <w:tc>
          <w:tcPr>
            <w:tcW w:w="3847" w:type="pct"/>
            <w:tcBorders>
              <w:top w:val="single" w:sz="4" w:space="0" w:color="auto"/>
              <w:left w:val="single" w:sz="4" w:space="0" w:color="auto"/>
              <w:bottom w:val="single" w:sz="4" w:space="0" w:color="auto"/>
              <w:right w:val="single" w:sz="4" w:space="0" w:color="auto"/>
            </w:tcBorders>
            <w:shd w:val="clear" w:color="auto" w:fill="D9D9D9"/>
            <w:hideMark/>
          </w:tcPr>
          <w:p w:rsidR="00482767" w:rsidRPr="00944DDE" w:rsidRDefault="00482767" w:rsidP="00482767">
            <w:pPr>
              <w:overflowPunct/>
              <w:autoSpaceDE/>
              <w:autoSpaceDN/>
              <w:adjustRightInd/>
              <w:ind w:firstLine="0"/>
              <w:jc w:val="center"/>
              <w:textAlignment w:val="auto"/>
              <w:rPr>
                <w:rFonts w:ascii="Times New Roman" w:hAnsi="Times New Roman" w:cs="Times New Roman"/>
                <w:sz w:val="20"/>
                <w:szCs w:val="20"/>
              </w:rPr>
            </w:pPr>
            <w:r w:rsidRPr="00944DDE">
              <w:rPr>
                <w:rFonts w:ascii="Times New Roman" w:hAnsi="Times New Roman" w:cs="Times New Roman"/>
                <w:sz w:val="20"/>
                <w:szCs w:val="20"/>
              </w:rPr>
              <w:t>Definition</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(Q/ L) Labor</w:t>
            </w:r>
          </w:p>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ahoma" w:hAnsi="Tahoma" w:cs="Tahoma"/>
                <w:sz w:val="20"/>
                <w:szCs w:val="20"/>
              </w:rPr>
              <w:t>﻿</w:t>
            </w:r>
            <w:r w:rsidRPr="00944DDE">
              <w:rPr>
                <w:rFonts w:ascii="Times New Roman" w:hAnsi="Times New Roman" w:cs="Times New Roman"/>
                <w:sz w:val="20"/>
                <w:szCs w:val="20"/>
              </w:rPr>
              <w:t>Productivity</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proofErr w:type="gramStart"/>
            <w:r w:rsidRPr="00944DDE">
              <w:rPr>
                <w:rFonts w:ascii="Times New Roman" w:hAnsi="Times New Roman" w:cs="Times New Roman"/>
                <w:sz w:val="20"/>
                <w:szCs w:val="20"/>
              </w:rPr>
              <w:t>value-added</w:t>
            </w:r>
            <w:proofErr w:type="gramEnd"/>
            <w:r w:rsidRPr="00944DDE">
              <w:rPr>
                <w:rFonts w:ascii="Times New Roman" w:hAnsi="Times New Roman" w:cs="Times New Roman"/>
                <w:sz w:val="20"/>
                <w:szCs w:val="20"/>
              </w:rPr>
              <w:t xml:space="preserve"> per employee. It is measured by the total production of the firm divided by the number of employees.</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tl/>
              </w:rPr>
            </w:pPr>
            <w:r w:rsidRPr="00944DDE">
              <w:rPr>
                <w:rFonts w:ascii="Times New Roman" w:hAnsi="Times New Roman" w:cs="Times New Roman"/>
                <w:sz w:val="20"/>
                <w:szCs w:val="20"/>
              </w:rPr>
              <w:t>Computer co</w:t>
            </w:r>
            <w:r w:rsidRPr="00944DDE">
              <w:rPr>
                <w:rFonts w:ascii="Times New Roman" w:hAnsi="Times New Roman" w:cs="Times New Roman"/>
                <w:sz w:val="20"/>
                <w:szCs w:val="20"/>
              </w:rPr>
              <w:t>n</w:t>
            </w:r>
            <w:r w:rsidRPr="00944DDE">
              <w:rPr>
                <w:rFonts w:ascii="Times New Roman" w:hAnsi="Times New Roman" w:cs="Times New Roman"/>
                <w:sz w:val="20"/>
                <w:szCs w:val="20"/>
              </w:rPr>
              <w:t>sulting services</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A dummy variable will equal 1 if the company invests in co</w:t>
            </w:r>
            <w:r w:rsidRPr="00944DDE">
              <w:rPr>
                <w:rFonts w:ascii="Times New Roman" w:hAnsi="Times New Roman" w:cs="Times New Roman"/>
                <w:sz w:val="20"/>
                <w:szCs w:val="20"/>
              </w:rPr>
              <w:t>m</w:t>
            </w:r>
            <w:r w:rsidRPr="00944DDE">
              <w:rPr>
                <w:rFonts w:ascii="Times New Roman" w:hAnsi="Times New Roman" w:cs="Times New Roman"/>
                <w:sz w:val="20"/>
                <w:szCs w:val="20"/>
              </w:rPr>
              <w:t>puter consulting services and zero otherwise.</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tl/>
              </w:rPr>
            </w:pPr>
            <w:r w:rsidRPr="00944DDE">
              <w:rPr>
                <w:rFonts w:ascii="Times New Roman" w:hAnsi="Times New Roman" w:cs="Times New Roman"/>
                <w:sz w:val="20"/>
                <w:szCs w:val="20"/>
              </w:rPr>
              <w:t>Database</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A dummy variable will equal 1 if the company invests in a dat</w:t>
            </w:r>
            <w:r w:rsidRPr="00944DDE">
              <w:rPr>
                <w:rFonts w:ascii="Times New Roman" w:hAnsi="Times New Roman" w:cs="Times New Roman"/>
                <w:sz w:val="20"/>
                <w:szCs w:val="20"/>
              </w:rPr>
              <w:t>a</w:t>
            </w:r>
            <w:r w:rsidRPr="00944DDE">
              <w:rPr>
                <w:rFonts w:ascii="Times New Roman" w:hAnsi="Times New Roman" w:cs="Times New Roman"/>
                <w:sz w:val="20"/>
                <w:szCs w:val="20"/>
              </w:rPr>
              <w:t>base and zero otherwise.</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R&amp;D</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If the company invests in R&amp;D, the dummy variable is 1, othe</w:t>
            </w:r>
            <w:r w:rsidRPr="00944DDE">
              <w:rPr>
                <w:rFonts w:ascii="Times New Roman" w:hAnsi="Times New Roman" w:cs="Times New Roman"/>
                <w:sz w:val="20"/>
                <w:szCs w:val="20"/>
              </w:rPr>
              <w:t>r</w:t>
            </w:r>
            <w:r w:rsidRPr="00944DDE">
              <w:rPr>
                <w:rFonts w:ascii="Times New Roman" w:hAnsi="Times New Roman" w:cs="Times New Roman"/>
                <w:sz w:val="20"/>
                <w:szCs w:val="20"/>
              </w:rPr>
              <w:t>wise it is 0.</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Computer</w:t>
            </w:r>
            <w:r w:rsidRPr="00944DDE">
              <w:rPr>
                <w:rFonts w:ascii="Tahoma" w:hAnsi="Tahoma" w:cs="Tahoma"/>
                <w:sz w:val="20"/>
                <w:szCs w:val="20"/>
              </w:rPr>
              <w:t>﻿</w:t>
            </w:r>
            <w:r w:rsidRPr="00944DDE">
              <w:rPr>
                <w:rFonts w:ascii="Times New Roman" w:hAnsi="Times New Roman" w:cs="Times New Roman"/>
                <w:sz w:val="20"/>
                <w:szCs w:val="20"/>
              </w:rPr>
              <w:t xml:space="preserve"> pr</w:t>
            </w:r>
            <w:r w:rsidRPr="00944DDE">
              <w:rPr>
                <w:rFonts w:ascii="Times New Roman" w:hAnsi="Times New Roman" w:cs="Times New Roman"/>
                <w:sz w:val="20"/>
                <w:szCs w:val="20"/>
              </w:rPr>
              <w:t>o</w:t>
            </w:r>
            <w:r w:rsidRPr="00944DDE">
              <w:rPr>
                <w:rFonts w:ascii="Times New Roman" w:hAnsi="Times New Roman" w:cs="Times New Roman"/>
                <w:sz w:val="20"/>
                <w:szCs w:val="20"/>
              </w:rPr>
              <w:t>gram</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If the company invests in computer programs, the dummy vari</w:t>
            </w:r>
            <w:r w:rsidRPr="00944DDE">
              <w:rPr>
                <w:rFonts w:ascii="Times New Roman" w:hAnsi="Times New Roman" w:cs="Times New Roman"/>
                <w:sz w:val="20"/>
                <w:szCs w:val="20"/>
              </w:rPr>
              <w:t>a</w:t>
            </w:r>
            <w:r w:rsidRPr="00944DDE">
              <w:rPr>
                <w:rFonts w:ascii="Times New Roman" w:hAnsi="Times New Roman" w:cs="Times New Roman"/>
                <w:sz w:val="20"/>
                <w:szCs w:val="20"/>
              </w:rPr>
              <w:t>ble equals 1, otherwise it equals 0.</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Advertising</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If the company invests in advertising, the dummy variable is 1, otherwise it is 0.</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Capital intensity</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proofErr w:type="gramStart"/>
            <w:r w:rsidRPr="00944DDE">
              <w:rPr>
                <w:rFonts w:ascii="Times New Roman" w:hAnsi="Times New Roman" w:cs="Times New Roman"/>
                <w:sz w:val="20"/>
                <w:szCs w:val="20"/>
              </w:rPr>
              <w:t>measured</w:t>
            </w:r>
            <w:proofErr w:type="gramEnd"/>
            <w:r w:rsidRPr="00944DDE">
              <w:rPr>
                <w:rFonts w:ascii="Times New Roman" w:hAnsi="Times New Roman" w:cs="Times New Roman"/>
                <w:sz w:val="20"/>
                <w:szCs w:val="20"/>
              </w:rPr>
              <w:t xml:space="preserve"> by the logarithm of the market value of total assets at the end of the year.</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 xml:space="preserve">Labor wages </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tl/>
              </w:rPr>
            </w:pPr>
            <w:r w:rsidRPr="00944DDE">
              <w:rPr>
                <w:rFonts w:ascii="Times New Roman" w:hAnsi="Times New Roman" w:cs="Times New Roman"/>
                <w:sz w:val="20"/>
                <w:szCs w:val="20"/>
              </w:rPr>
              <w:t>measured by the logarithm of total wage/number of employees</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tl/>
              </w:rPr>
            </w:pPr>
            <w:r w:rsidRPr="00944DDE">
              <w:rPr>
                <w:rFonts w:ascii="Times New Roman" w:hAnsi="Times New Roman" w:cs="Times New Roman"/>
                <w:sz w:val="20"/>
                <w:szCs w:val="20"/>
              </w:rPr>
              <w:t>Size</w:t>
            </w:r>
          </w:p>
        </w:tc>
        <w:tc>
          <w:tcPr>
            <w:tcW w:w="3847" w:type="pct"/>
            <w:vAlign w:val="center"/>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Logarithm of the number of workers</w:t>
            </w:r>
          </w:p>
        </w:tc>
      </w:tr>
      <w:tr w:rsidR="00482767" w:rsidRPr="00482767" w:rsidTr="005647EC">
        <w:trPr>
          <w:trHeight w:val="20"/>
        </w:trPr>
        <w:tc>
          <w:tcPr>
            <w:tcW w:w="1153" w:type="pct"/>
            <w:tcBorders>
              <w:top w:val="single" w:sz="4" w:space="0" w:color="auto"/>
              <w:left w:val="single" w:sz="4" w:space="0" w:color="auto"/>
              <w:bottom w:val="single" w:sz="4" w:space="0" w:color="auto"/>
              <w:right w:val="single" w:sz="4" w:space="0" w:color="auto"/>
            </w:tcBorders>
            <w:hideMark/>
          </w:tcPr>
          <w:p w:rsidR="00482767" w:rsidRPr="00944DDE" w:rsidRDefault="00482767" w:rsidP="00482767">
            <w:pPr>
              <w:overflowPunct/>
              <w:autoSpaceDE/>
              <w:autoSpaceDN/>
              <w:adjustRightInd/>
              <w:ind w:firstLine="0"/>
              <w:textAlignment w:val="auto"/>
              <w:rPr>
                <w:rFonts w:ascii="Times New Roman" w:hAnsi="Times New Roman" w:cs="Times New Roman"/>
                <w:sz w:val="20"/>
                <w:szCs w:val="20"/>
                <w:rtl/>
              </w:rPr>
            </w:pPr>
            <w:r w:rsidRPr="00944DDE">
              <w:rPr>
                <w:rFonts w:ascii="Times New Roman" w:hAnsi="Times New Roman" w:cs="Times New Roman"/>
                <w:sz w:val="20"/>
                <w:szCs w:val="20"/>
              </w:rPr>
              <w:t>Gaza</w:t>
            </w:r>
          </w:p>
        </w:tc>
        <w:tc>
          <w:tcPr>
            <w:tcW w:w="3847" w:type="pct"/>
            <w:vAlign w:val="center"/>
            <w:hideMark/>
          </w:tcPr>
          <w:p w:rsidR="00482767" w:rsidRPr="00944DDE" w:rsidRDefault="00482767" w:rsidP="00F412B0">
            <w:pPr>
              <w:overflowPunct/>
              <w:autoSpaceDE/>
              <w:autoSpaceDN/>
              <w:adjustRightInd/>
              <w:ind w:firstLine="0"/>
              <w:textAlignment w:val="auto"/>
              <w:rPr>
                <w:rFonts w:ascii="Times New Roman" w:hAnsi="Times New Roman" w:cs="Times New Roman"/>
                <w:sz w:val="20"/>
                <w:szCs w:val="20"/>
              </w:rPr>
            </w:pPr>
            <w:r w:rsidRPr="00944DDE">
              <w:rPr>
                <w:rFonts w:ascii="Times New Roman" w:hAnsi="Times New Roman" w:cs="Times New Roman"/>
                <w:sz w:val="20"/>
                <w:szCs w:val="20"/>
              </w:rPr>
              <w:t xml:space="preserve">If the company is located in Gaza, the dummy variable equals </w:t>
            </w:r>
            <w:r w:rsidR="00F412B0">
              <w:rPr>
                <w:rFonts w:ascii="Times New Roman" w:hAnsi="Times New Roman" w:cs="Times New Roman"/>
                <w:sz w:val="20"/>
                <w:szCs w:val="20"/>
              </w:rPr>
              <w:t>one</w:t>
            </w:r>
            <w:r w:rsidRPr="00944DDE">
              <w:rPr>
                <w:rFonts w:ascii="Times New Roman" w:hAnsi="Times New Roman" w:cs="Times New Roman"/>
                <w:sz w:val="20"/>
                <w:szCs w:val="20"/>
              </w:rPr>
              <w:t>, otherwise it equals 0.</w:t>
            </w:r>
          </w:p>
        </w:tc>
      </w:tr>
    </w:tbl>
    <w:p w:rsidR="00482767" w:rsidRPr="00944DDE" w:rsidRDefault="00482767" w:rsidP="005647EC">
      <w:pPr>
        <w:pStyle w:val="heading1"/>
        <w:rPr>
          <w:rFonts w:eastAsia="Calibri"/>
        </w:rPr>
      </w:pPr>
      <w:r w:rsidRPr="00944DDE">
        <w:rPr>
          <w:rFonts w:eastAsia="Calibri"/>
          <w:noProof/>
          <w:szCs w:val="24"/>
        </w:rPr>
        <w:t xml:space="preserve">   </w:t>
      </w:r>
      <w:r w:rsidRPr="00944DDE">
        <w:rPr>
          <w:rFonts w:eastAsia="Calibri"/>
          <w:noProof/>
          <w:szCs w:val="24"/>
          <w:cs/>
        </w:rPr>
        <w:t>‎</w:t>
      </w:r>
      <w:r w:rsidRPr="00944DDE">
        <w:rPr>
          <w:rFonts w:eastAsia="Calibri"/>
        </w:rPr>
        <w:t xml:space="preserve"> Results and discussion </w:t>
      </w:r>
    </w:p>
    <w:p w:rsidR="00482767" w:rsidRPr="00944DDE" w:rsidRDefault="00482767" w:rsidP="005647EC">
      <w:pPr>
        <w:pStyle w:val="p1a"/>
        <w:rPr>
          <w:rFonts w:eastAsia="Calibri"/>
        </w:rPr>
      </w:pPr>
      <w:r w:rsidRPr="00944DDE">
        <w:rPr>
          <w:rFonts w:eastAsia="Calibri"/>
        </w:rPr>
        <w:t xml:space="preserve">The descriptive statistics of the variables in this paper are presented in Table 2. The mean, median, maximum, minimum, and standard </w:t>
      </w:r>
      <w:proofErr w:type="gramStart"/>
      <w:r w:rsidRPr="00944DDE">
        <w:rPr>
          <w:rFonts w:eastAsia="Calibri"/>
        </w:rPr>
        <w:t>deviation are</w:t>
      </w:r>
      <w:proofErr w:type="gramEnd"/>
      <w:r w:rsidRPr="00944DDE">
        <w:rPr>
          <w:rFonts w:eastAsia="Calibri"/>
        </w:rPr>
        <w:t xml:space="preserve"> all values. </w:t>
      </w:r>
      <w:proofErr w:type="gramStart"/>
      <w:r w:rsidRPr="00944DDE">
        <w:rPr>
          <w:rFonts w:eastAsia="Calibri"/>
        </w:rPr>
        <w:t>were</w:t>
      </w:r>
      <w:proofErr w:type="gramEnd"/>
      <w:r w:rsidRPr="00944DDE">
        <w:rPr>
          <w:rFonts w:eastAsia="Calibri"/>
        </w:rPr>
        <w:t xml:space="preserve"> pr</w:t>
      </w:r>
      <w:r w:rsidRPr="00944DDE">
        <w:rPr>
          <w:rFonts w:eastAsia="Calibri"/>
        </w:rPr>
        <w:t>e</w:t>
      </w:r>
      <w:r w:rsidRPr="00944DDE">
        <w:rPr>
          <w:rFonts w:eastAsia="Calibri"/>
        </w:rPr>
        <w:t>sented for continuous variables, while the dummy variables include the number of firms and the percentage of firms having the characteristics for each year and for both the West Bank and Gaza.</w:t>
      </w:r>
    </w:p>
    <w:p w:rsidR="00482767" w:rsidRPr="00944DDE" w:rsidRDefault="005647EC" w:rsidP="005647EC">
      <w:pPr>
        <w:pStyle w:val="tablecaption"/>
        <w:rPr>
          <w:rFonts w:eastAsia="Calibri"/>
        </w:rPr>
      </w:pPr>
      <w:proofErr w:type="gramStart"/>
      <w:r w:rsidRPr="00944DDE">
        <w:rPr>
          <w:rFonts w:eastAsia="Calibri"/>
          <w:b/>
        </w:rPr>
        <w:t xml:space="preserve">Table </w:t>
      </w:r>
      <w:fldSimple w:instr=" SEQ &quot;Table&quot; \* MERGEFORMAT ">
        <w:r w:rsidR="002827AF">
          <w:rPr>
            <w:rFonts w:eastAsia="Calibri"/>
            <w:b/>
            <w:noProof/>
          </w:rPr>
          <w:t>2</w:t>
        </w:r>
      </w:fldSimple>
      <w:r w:rsidRPr="00944DDE">
        <w:rPr>
          <w:rFonts w:eastAsia="Calibri"/>
          <w:b/>
        </w:rPr>
        <w:t>.</w:t>
      </w:r>
      <w:proofErr w:type="gramEnd"/>
      <w:r w:rsidRPr="00944DDE">
        <w:rPr>
          <w:rFonts w:eastAsia="Calibri"/>
        </w:rPr>
        <w:t xml:space="preserve"> </w:t>
      </w:r>
      <w:r w:rsidR="00482767" w:rsidRPr="00944DDE">
        <w:rPr>
          <w:rFonts w:eastAsia="Calibri"/>
        </w:rPr>
        <w:t>The descriptive statistics</w:t>
      </w:r>
    </w:p>
    <w:tbl>
      <w:tblPr>
        <w:tblW w:w="5245" w:type="pct"/>
        <w:tblLook w:val="04A0"/>
      </w:tblPr>
      <w:tblGrid>
        <w:gridCol w:w="2252"/>
        <w:gridCol w:w="990"/>
        <w:gridCol w:w="733"/>
        <w:gridCol w:w="13"/>
        <w:gridCol w:w="943"/>
        <w:gridCol w:w="867"/>
        <w:gridCol w:w="11"/>
        <w:gridCol w:w="943"/>
        <w:gridCol w:w="732"/>
      </w:tblGrid>
      <w:tr w:rsidR="00482767" w:rsidRPr="00944DDE" w:rsidTr="00F412B0">
        <w:trPr>
          <w:trHeight w:val="20"/>
        </w:trPr>
        <w:tc>
          <w:tcPr>
            <w:tcW w:w="150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82767" w:rsidRPr="00944DDE" w:rsidRDefault="00482767" w:rsidP="005647EC">
            <w:pPr>
              <w:pStyle w:val="p1a"/>
              <w:spacing w:line="240" w:lineRule="auto"/>
              <w:contextualSpacing/>
              <w:rPr>
                <w:rFonts w:asciiTheme="majorBidi" w:hAnsiTheme="majorBidi" w:cstheme="majorBidi"/>
                <w:sz w:val="16"/>
                <w:szCs w:val="16"/>
              </w:rPr>
            </w:pPr>
            <w:r w:rsidRPr="00944DDE">
              <w:rPr>
                <w:rFonts w:asciiTheme="majorBidi" w:hAnsiTheme="majorBidi" w:cstheme="majorBidi"/>
                <w:sz w:val="16"/>
                <w:szCs w:val="16"/>
              </w:rPr>
              <w:t>Variable</w:t>
            </w:r>
            <w:r w:rsidRPr="00944DDE">
              <w:rPr>
                <w:rFonts w:asciiTheme="majorBidi" w:hAnsiTheme="majorBidi" w:cstheme="majorBidi"/>
                <w:sz w:val="16"/>
                <w:szCs w:val="16"/>
                <w:cs/>
              </w:rPr>
              <w:t>‎</w:t>
            </w:r>
          </w:p>
        </w:tc>
        <w:tc>
          <w:tcPr>
            <w:tcW w:w="662" w:type="pct"/>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 xml:space="preserve">Mean </w:t>
            </w:r>
          </w:p>
        </w:tc>
        <w:tc>
          <w:tcPr>
            <w:tcW w:w="490" w:type="pct"/>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Median</w:t>
            </w:r>
          </w:p>
        </w:tc>
        <w:tc>
          <w:tcPr>
            <w:tcW w:w="638" w:type="pct"/>
            <w:gridSpan w:val="2"/>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Maximum</w:t>
            </w:r>
          </w:p>
        </w:tc>
        <w:tc>
          <w:tcPr>
            <w:tcW w:w="579" w:type="pct"/>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minimum</w:t>
            </w:r>
          </w:p>
        </w:tc>
        <w:tc>
          <w:tcPr>
            <w:tcW w:w="637" w:type="pct"/>
            <w:gridSpan w:val="2"/>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 xml:space="preserve"> Std. Dev.</w:t>
            </w:r>
          </w:p>
        </w:tc>
        <w:tc>
          <w:tcPr>
            <w:tcW w:w="490" w:type="pct"/>
            <w:tcBorders>
              <w:top w:val="single" w:sz="4" w:space="0" w:color="auto"/>
              <w:left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 </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 xml:space="preserve">Labor Productivity </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13.03</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13.03</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17.88</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7.20</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1.03</w:t>
            </w:r>
          </w:p>
        </w:tc>
        <w:tc>
          <w:tcPr>
            <w:tcW w:w="490" w:type="pct"/>
            <w:tcBorders>
              <w:left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 </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Size</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1.78</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1.61</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7.60</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0.00</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1.22</w:t>
            </w:r>
          </w:p>
        </w:tc>
        <w:tc>
          <w:tcPr>
            <w:tcW w:w="490" w:type="pct"/>
            <w:tcBorders>
              <w:left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 </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Capital Intensity</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12.10</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12.19</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19.12</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0.65</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1.42</w:t>
            </w:r>
          </w:p>
        </w:tc>
        <w:tc>
          <w:tcPr>
            <w:tcW w:w="490" w:type="pct"/>
            <w:tcBorders>
              <w:left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 </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Labor Wage</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12.83</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11.42</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22.71</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6.62</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3.61</w:t>
            </w:r>
          </w:p>
        </w:tc>
        <w:tc>
          <w:tcPr>
            <w:tcW w:w="490" w:type="pct"/>
            <w:tcBorders>
              <w:left w:val="single" w:sz="4" w:space="0" w:color="auto"/>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 </w:t>
            </w:r>
          </w:p>
        </w:tc>
      </w:tr>
      <w:tr w:rsidR="00482767"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D9D9D9"/>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b/>
                <w:bCs/>
                <w:color w:val="000000"/>
                <w:sz w:val="16"/>
                <w:szCs w:val="16"/>
              </w:rPr>
            </w:pPr>
            <w:r w:rsidRPr="00482767">
              <w:rPr>
                <w:rFonts w:asciiTheme="majorBidi" w:hAnsiTheme="majorBidi" w:cstheme="majorBidi"/>
                <w:b/>
                <w:bCs/>
                <w:color w:val="000000"/>
                <w:sz w:val="16"/>
                <w:szCs w:val="16"/>
              </w:rPr>
              <w:t>Year</w:t>
            </w:r>
          </w:p>
        </w:tc>
        <w:tc>
          <w:tcPr>
            <w:tcW w:w="1160" w:type="pct"/>
            <w:gridSpan w:val="3"/>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2018</w:t>
            </w:r>
          </w:p>
        </w:tc>
        <w:tc>
          <w:tcPr>
            <w:tcW w:w="1216" w:type="pct"/>
            <w:gridSpan w:val="3"/>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2017</w:t>
            </w:r>
          </w:p>
        </w:tc>
        <w:tc>
          <w:tcPr>
            <w:tcW w:w="1120" w:type="pct"/>
            <w:gridSpan w:val="2"/>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2016</w:t>
            </w:r>
          </w:p>
        </w:tc>
      </w:tr>
      <w:tr w:rsidR="00482767"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D9D9D9"/>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Area</w:t>
            </w:r>
          </w:p>
        </w:tc>
        <w:tc>
          <w:tcPr>
            <w:tcW w:w="662"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West Bank</w:t>
            </w:r>
          </w:p>
        </w:tc>
        <w:tc>
          <w:tcPr>
            <w:tcW w:w="490"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Gaza</w:t>
            </w:r>
          </w:p>
        </w:tc>
        <w:tc>
          <w:tcPr>
            <w:tcW w:w="638" w:type="pct"/>
            <w:gridSpan w:val="2"/>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West Bank</w:t>
            </w:r>
          </w:p>
        </w:tc>
        <w:tc>
          <w:tcPr>
            <w:tcW w:w="579"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Gaza</w:t>
            </w:r>
          </w:p>
        </w:tc>
        <w:tc>
          <w:tcPr>
            <w:tcW w:w="637" w:type="pct"/>
            <w:gridSpan w:val="2"/>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West Bank</w:t>
            </w:r>
          </w:p>
        </w:tc>
        <w:tc>
          <w:tcPr>
            <w:tcW w:w="490"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Gaza</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Number of Firms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1135</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571</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1228</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595</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1108</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553</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Computer Consulting Services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10.49%</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3.75%</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16.04%</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9.41%</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13.54%</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7.59%</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Databases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1.11%</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0.41%</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0.33%</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0.34%</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0.09%</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0.00%</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R&amp;D</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0.88%</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0.29%</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0.16%</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0.34%</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0.36%</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0.00%</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Computer Programs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7.62%</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6.98%</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13.76%</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24.20%</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11.10%</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20.07%</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Advertising</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17.23%</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10.90%</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22.88%</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29.92%</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27.44%</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32.19%</w:t>
            </w:r>
          </w:p>
        </w:tc>
      </w:tr>
      <w:tr w:rsidR="00482767"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D9D9D9"/>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b/>
                <w:bCs/>
                <w:color w:val="000000"/>
                <w:sz w:val="16"/>
                <w:szCs w:val="16"/>
              </w:rPr>
            </w:pPr>
            <w:r w:rsidRPr="00482767">
              <w:rPr>
                <w:rFonts w:asciiTheme="majorBidi" w:hAnsiTheme="majorBidi" w:cstheme="majorBidi"/>
                <w:b/>
                <w:bCs/>
                <w:color w:val="000000"/>
                <w:sz w:val="16"/>
                <w:szCs w:val="16"/>
              </w:rPr>
              <w:t>Year</w:t>
            </w:r>
          </w:p>
        </w:tc>
        <w:tc>
          <w:tcPr>
            <w:tcW w:w="1160" w:type="pct"/>
            <w:gridSpan w:val="3"/>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2015</w:t>
            </w:r>
          </w:p>
        </w:tc>
        <w:tc>
          <w:tcPr>
            <w:tcW w:w="1216" w:type="pct"/>
            <w:gridSpan w:val="3"/>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2014</w:t>
            </w:r>
          </w:p>
        </w:tc>
        <w:tc>
          <w:tcPr>
            <w:tcW w:w="1120" w:type="pct"/>
            <w:gridSpan w:val="2"/>
            <w:tcBorders>
              <w:top w:val="single" w:sz="4" w:space="0" w:color="auto"/>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2013</w:t>
            </w:r>
          </w:p>
        </w:tc>
      </w:tr>
      <w:tr w:rsidR="00482767"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D9D9D9"/>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Area</w:t>
            </w:r>
          </w:p>
        </w:tc>
        <w:tc>
          <w:tcPr>
            <w:tcW w:w="662"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West Bank</w:t>
            </w:r>
          </w:p>
        </w:tc>
        <w:tc>
          <w:tcPr>
            <w:tcW w:w="490"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Gaza</w:t>
            </w:r>
          </w:p>
        </w:tc>
        <w:tc>
          <w:tcPr>
            <w:tcW w:w="638" w:type="pct"/>
            <w:gridSpan w:val="2"/>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West Bank</w:t>
            </w:r>
          </w:p>
        </w:tc>
        <w:tc>
          <w:tcPr>
            <w:tcW w:w="579"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Gaza</w:t>
            </w:r>
          </w:p>
        </w:tc>
        <w:tc>
          <w:tcPr>
            <w:tcW w:w="637" w:type="pct"/>
            <w:gridSpan w:val="2"/>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West Bank</w:t>
            </w:r>
          </w:p>
        </w:tc>
        <w:tc>
          <w:tcPr>
            <w:tcW w:w="490" w:type="pct"/>
            <w:tcBorders>
              <w:top w:val="nil"/>
              <w:left w:val="nil"/>
              <w:bottom w:val="single" w:sz="4" w:space="0" w:color="auto"/>
              <w:right w:val="single" w:sz="4" w:space="0" w:color="auto"/>
            </w:tcBorders>
            <w:shd w:val="clear" w:color="auto" w:fill="D9D9D9"/>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Gaza</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Number of Firms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1066</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555</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1061</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505</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1238</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357</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Computer Consulting Services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15.76%</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6.13%</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13.57%</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6.73%</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11.07%</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8.12%</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Databases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0.19%</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0.18%</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0.19%</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0.20%</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0.24%</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0.00%</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R&amp;D</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0.00%</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0.72%</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0.28%</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0.20%</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0.24%</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0.56%</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Computer Programs</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13.32%</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19.46%</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12.35%</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11.49%</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12.52%</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12.61%</w:t>
            </w:r>
          </w:p>
        </w:tc>
      </w:tr>
      <w:tr w:rsidR="005647EC" w:rsidRPr="00944DDE" w:rsidTr="00F412B0">
        <w:trPr>
          <w:trHeight w:val="20"/>
        </w:trPr>
        <w:tc>
          <w:tcPr>
            <w:tcW w:w="1505" w:type="pct"/>
            <w:tcBorders>
              <w:top w:val="nil"/>
              <w:left w:val="single" w:sz="4" w:space="0" w:color="auto"/>
              <w:bottom w:val="single" w:sz="4" w:space="0" w:color="auto"/>
              <w:right w:val="single" w:sz="4" w:space="0" w:color="auto"/>
            </w:tcBorders>
            <w:shd w:val="clear" w:color="auto" w:fill="auto"/>
            <w:noWrap/>
            <w:vAlign w:val="center"/>
            <w:hideMark/>
          </w:tcPr>
          <w:p w:rsidR="00482767" w:rsidRPr="00482767" w:rsidRDefault="00482767" w:rsidP="005647EC">
            <w:pPr>
              <w:overflowPunct/>
              <w:autoSpaceDE/>
              <w:autoSpaceDN/>
              <w:adjustRightInd/>
              <w:spacing w:line="240" w:lineRule="auto"/>
              <w:ind w:firstLine="0"/>
              <w:contextualSpacing/>
              <w:jc w:val="left"/>
              <w:textAlignment w:val="auto"/>
              <w:rPr>
                <w:rFonts w:asciiTheme="majorBidi" w:hAnsiTheme="majorBidi" w:cstheme="majorBidi"/>
                <w:color w:val="000000"/>
                <w:sz w:val="16"/>
                <w:szCs w:val="16"/>
              </w:rPr>
            </w:pPr>
            <w:r w:rsidRPr="00482767">
              <w:rPr>
                <w:rFonts w:asciiTheme="majorBidi" w:hAnsiTheme="majorBidi" w:cstheme="majorBidi"/>
                <w:color w:val="000000"/>
                <w:sz w:val="16"/>
                <w:szCs w:val="16"/>
              </w:rPr>
              <w:t>Advertising</w:t>
            </w:r>
          </w:p>
        </w:tc>
        <w:tc>
          <w:tcPr>
            <w:tcW w:w="662"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hanging="43"/>
              <w:contextualSpacing/>
              <w:rPr>
                <w:rFonts w:asciiTheme="majorBidi" w:hAnsiTheme="majorBidi" w:cstheme="majorBidi"/>
                <w:sz w:val="16"/>
                <w:szCs w:val="16"/>
              </w:rPr>
            </w:pPr>
            <w:r w:rsidRPr="00944DDE">
              <w:rPr>
                <w:rFonts w:asciiTheme="majorBidi" w:hAnsiTheme="majorBidi" w:cstheme="majorBidi"/>
                <w:sz w:val="16"/>
                <w:szCs w:val="16"/>
              </w:rPr>
              <w:t>29.92%</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39.64%</w:t>
            </w:r>
          </w:p>
        </w:tc>
        <w:tc>
          <w:tcPr>
            <w:tcW w:w="638"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34.59%</w:t>
            </w:r>
          </w:p>
        </w:tc>
        <w:tc>
          <w:tcPr>
            <w:tcW w:w="579"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35.05%</w:t>
            </w:r>
          </w:p>
        </w:tc>
        <w:tc>
          <w:tcPr>
            <w:tcW w:w="637" w:type="pct"/>
            <w:gridSpan w:val="2"/>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32.31%</w:t>
            </w:r>
          </w:p>
        </w:tc>
        <w:tc>
          <w:tcPr>
            <w:tcW w:w="490" w:type="pct"/>
            <w:tcBorders>
              <w:top w:val="nil"/>
              <w:left w:val="nil"/>
              <w:bottom w:val="single" w:sz="4" w:space="0" w:color="auto"/>
              <w:right w:val="single" w:sz="4" w:space="0" w:color="auto"/>
            </w:tcBorders>
            <w:shd w:val="clear" w:color="auto" w:fill="auto"/>
            <w:noWrap/>
            <w:vAlign w:val="center"/>
            <w:hideMark/>
          </w:tcPr>
          <w:p w:rsidR="00482767" w:rsidRPr="00944DDE" w:rsidRDefault="00482767" w:rsidP="005647EC">
            <w:pPr>
              <w:spacing w:line="240" w:lineRule="auto"/>
              <w:ind w:firstLine="0"/>
              <w:contextualSpacing/>
              <w:rPr>
                <w:rFonts w:asciiTheme="majorBidi" w:hAnsiTheme="majorBidi" w:cstheme="majorBidi"/>
                <w:sz w:val="16"/>
                <w:szCs w:val="16"/>
              </w:rPr>
            </w:pPr>
            <w:r w:rsidRPr="00944DDE">
              <w:rPr>
                <w:rFonts w:asciiTheme="majorBidi" w:hAnsiTheme="majorBidi" w:cstheme="majorBidi"/>
                <w:sz w:val="16"/>
                <w:szCs w:val="16"/>
              </w:rPr>
              <w:t>26.89%</w:t>
            </w:r>
          </w:p>
        </w:tc>
      </w:tr>
    </w:tbl>
    <w:p w:rsidR="00482767" w:rsidRPr="00944DDE" w:rsidRDefault="00F412B0" w:rsidP="00F412B0">
      <w:pPr>
        <w:tabs>
          <w:tab w:val="left" w:pos="270"/>
        </w:tabs>
        <w:overflowPunct/>
        <w:autoSpaceDE/>
        <w:autoSpaceDN/>
        <w:adjustRightInd/>
        <w:ind w:firstLine="0"/>
        <w:contextualSpacing/>
        <w:textAlignment w:val="auto"/>
      </w:pPr>
      <w:r w:rsidRPr="00F412B0">
        <w:t>Table 3 displays the model's regression findings. This model explains 20</w:t>
      </w:r>
      <w:proofErr w:type="gramStart"/>
      <w:r w:rsidRPr="00F412B0">
        <w:t>,70</w:t>
      </w:r>
      <w:proofErr w:type="gramEnd"/>
      <w:r w:rsidRPr="00F412B0">
        <w:t>% of the overall variability in labor productivity, as measured by R-squared. At a 1% level of significance, a high F-statistic indicates that the null hypothesis that the model was inadequate should be rejected, suggesting that the model was well-fitted.</w:t>
      </w:r>
    </w:p>
    <w:p w:rsidR="00482767" w:rsidRPr="00944DDE" w:rsidRDefault="005647EC" w:rsidP="005647EC">
      <w:pPr>
        <w:pStyle w:val="tablecaption"/>
        <w:rPr>
          <w:rFonts w:eastAsia="Calibri"/>
        </w:rPr>
      </w:pPr>
      <w:proofErr w:type="gramStart"/>
      <w:r w:rsidRPr="00944DDE">
        <w:rPr>
          <w:rFonts w:eastAsia="Calibri"/>
          <w:b/>
        </w:rPr>
        <w:t xml:space="preserve">Table </w:t>
      </w:r>
      <w:fldSimple w:instr=" SEQ &quot;Table&quot; \* MERGEFORMAT ">
        <w:r w:rsidR="002827AF">
          <w:rPr>
            <w:rFonts w:eastAsia="Calibri"/>
            <w:b/>
            <w:noProof/>
          </w:rPr>
          <w:t>3</w:t>
        </w:r>
      </w:fldSimple>
      <w:r w:rsidRPr="00944DDE">
        <w:rPr>
          <w:rFonts w:eastAsia="Calibri"/>
          <w:b/>
        </w:rPr>
        <w:t>.</w:t>
      </w:r>
      <w:proofErr w:type="gramEnd"/>
      <w:r w:rsidRPr="00944DDE">
        <w:rPr>
          <w:rFonts w:eastAsia="Calibri"/>
        </w:rPr>
        <w:t xml:space="preserve"> </w:t>
      </w:r>
      <w:r w:rsidR="00482767" w:rsidRPr="00944DDE">
        <w:rPr>
          <w:rFonts w:eastAsia="Calibri"/>
        </w:rPr>
        <w:t xml:space="preserve">  Estimation Results </w:t>
      </w:r>
    </w:p>
    <w:tbl>
      <w:tblPr>
        <w:tblW w:w="5000" w:type="pct"/>
        <w:tblLook w:val="04A0"/>
      </w:tblPr>
      <w:tblGrid>
        <w:gridCol w:w="3390"/>
        <w:gridCol w:w="1535"/>
        <w:gridCol w:w="1284"/>
        <w:gridCol w:w="925"/>
      </w:tblGrid>
      <w:tr w:rsidR="00482767" w:rsidRPr="00944DDE" w:rsidTr="00F07800">
        <w:trPr>
          <w:trHeight w:val="20"/>
        </w:trPr>
        <w:tc>
          <w:tcPr>
            <w:tcW w:w="2376" w:type="pct"/>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482767" w:rsidRPr="00944DDE" w:rsidRDefault="00482767" w:rsidP="005647EC">
            <w:pPr>
              <w:pStyle w:val="p1a"/>
            </w:pPr>
            <w:r w:rsidRPr="00944DDE">
              <w:t>Variable</w:t>
            </w:r>
          </w:p>
        </w:tc>
        <w:tc>
          <w:tcPr>
            <w:tcW w:w="1076" w:type="pct"/>
            <w:tcBorders>
              <w:top w:val="single" w:sz="4" w:space="0" w:color="auto"/>
              <w:left w:val="nil"/>
              <w:bottom w:val="single" w:sz="4" w:space="0" w:color="auto"/>
              <w:right w:val="single" w:sz="4" w:space="0" w:color="auto"/>
            </w:tcBorders>
            <w:shd w:val="clear" w:color="auto" w:fill="D9D9D9"/>
            <w:noWrap/>
            <w:vAlign w:val="bottom"/>
            <w:hideMark/>
          </w:tcPr>
          <w:p w:rsidR="00482767" w:rsidRPr="00944DDE" w:rsidRDefault="00482767" w:rsidP="005647EC">
            <w:r w:rsidRPr="00944DDE">
              <w:t>Coefficient</w:t>
            </w:r>
          </w:p>
        </w:tc>
        <w:tc>
          <w:tcPr>
            <w:tcW w:w="900" w:type="pct"/>
            <w:tcBorders>
              <w:top w:val="single" w:sz="4" w:space="0" w:color="auto"/>
              <w:left w:val="nil"/>
              <w:bottom w:val="single" w:sz="4" w:space="0" w:color="auto"/>
              <w:right w:val="single" w:sz="4" w:space="0" w:color="auto"/>
            </w:tcBorders>
            <w:shd w:val="clear" w:color="auto" w:fill="D9D9D9"/>
            <w:noWrap/>
            <w:vAlign w:val="bottom"/>
            <w:hideMark/>
          </w:tcPr>
          <w:p w:rsidR="00482767" w:rsidRPr="00944DDE" w:rsidRDefault="00482767" w:rsidP="005647EC">
            <w:r w:rsidRPr="00944DDE">
              <w:t>t-Statistic</w:t>
            </w:r>
          </w:p>
        </w:tc>
        <w:tc>
          <w:tcPr>
            <w:tcW w:w="647" w:type="pct"/>
            <w:tcBorders>
              <w:top w:val="single" w:sz="4" w:space="0" w:color="auto"/>
              <w:left w:val="nil"/>
              <w:bottom w:val="single" w:sz="4" w:space="0" w:color="auto"/>
              <w:right w:val="single" w:sz="4" w:space="0" w:color="auto"/>
            </w:tcBorders>
            <w:shd w:val="clear" w:color="auto" w:fill="D9D9D9"/>
            <w:noWrap/>
            <w:vAlign w:val="bottom"/>
            <w:hideMark/>
          </w:tcPr>
          <w:p w:rsidR="00482767" w:rsidRPr="00944DDE" w:rsidRDefault="00482767" w:rsidP="005647EC">
            <w:r w:rsidRPr="00944DDE">
              <w:t>Prob.</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Computer consulting services</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0.119</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3.364</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pPr>
              <w:rPr>
                <w:b/>
                <w:bCs/>
              </w:rPr>
            </w:pPr>
            <w:r w:rsidRPr="00944DDE">
              <w:rPr>
                <w:b/>
                <w:bCs/>
              </w:rPr>
              <w:t>0.001</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Databases</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0.165</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1.051</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0.293</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R &amp;D</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-0.190</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-1.294</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0.196</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Computer programs</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0.206</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6.320</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pPr>
              <w:rPr>
                <w:b/>
                <w:bCs/>
              </w:rPr>
            </w:pPr>
            <w:r w:rsidRPr="00944DDE">
              <w:rPr>
                <w:b/>
                <w:bCs/>
              </w:rPr>
              <w:t>0.000</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Advertising</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0.126</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5.494</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pPr>
              <w:rPr>
                <w:b/>
                <w:bCs/>
              </w:rPr>
            </w:pPr>
            <w:r w:rsidRPr="00944DDE">
              <w:rPr>
                <w:b/>
                <w:bCs/>
              </w:rPr>
              <w:t>0.000</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Capital</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0.276</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34.405</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pPr>
              <w:rPr>
                <w:b/>
                <w:bCs/>
              </w:rPr>
            </w:pPr>
            <w:r w:rsidRPr="00944DDE">
              <w:rPr>
                <w:b/>
                <w:bCs/>
              </w:rPr>
              <w:t>0.000</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Labor wages</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0.014</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3.722</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pPr>
              <w:rPr>
                <w:b/>
                <w:bCs/>
              </w:rPr>
            </w:pPr>
            <w:r w:rsidRPr="00944DDE">
              <w:rPr>
                <w:b/>
                <w:bCs/>
              </w:rPr>
              <w:t>0.000</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Number of laborers</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-0.010</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-1.030</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0.303</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Gaza Strip</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-0.298</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-11.556</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pPr>
              <w:rPr>
                <w:b/>
                <w:bCs/>
              </w:rPr>
            </w:pPr>
            <w:r w:rsidRPr="00944DDE">
              <w:rPr>
                <w:b/>
                <w:bCs/>
              </w:rPr>
              <w:t>0.000</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C</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9.531</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85.974</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0.000</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R-squared</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0.207</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Adjusted R-squared</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0.206</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r w:rsidRPr="00482767">
              <w:rPr>
                <w:color w:val="000000"/>
              </w:rPr>
              <w:t>F-statistic</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289.883</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r>
      <w:tr w:rsidR="00482767" w:rsidRPr="00944DDE" w:rsidTr="00F07800">
        <w:trPr>
          <w:trHeight w:val="20"/>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rsidR="00482767" w:rsidRPr="00482767" w:rsidRDefault="00482767" w:rsidP="005647EC">
            <w:pPr>
              <w:overflowPunct/>
              <w:autoSpaceDE/>
              <w:autoSpaceDN/>
              <w:adjustRightInd/>
              <w:ind w:firstLine="0"/>
              <w:contextualSpacing/>
              <w:jc w:val="left"/>
              <w:textAlignment w:val="auto"/>
              <w:rPr>
                <w:color w:val="000000"/>
              </w:rPr>
            </w:pPr>
            <w:proofErr w:type="spellStart"/>
            <w:r w:rsidRPr="00482767">
              <w:rPr>
                <w:color w:val="000000"/>
              </w:rPr>
              <w:t>Prob</w:t>
            </w:r>
            <w:proofErr w:type="spellEnd"/>
            <w:r w:rsidRPr="00482767">
              <w:rPr>
                <w:color w:val="000000"/>
              </w:rPr>
              <w:t>(F-statistic)</w:t>
            </w:r>
          </w:p>
        </w:tc>
        <w:tc>
          <w:tcPr>
            <w:tcW w:w="1076"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0.000</w:t>
            </w:r>
          </w:p>
        </w:tc>
        <w:tc>
          <w:tcPr>
            <w:tcW w:w="900"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c>
          <w:tcPr>
            <w:tcW w:w="647" w:type="pct"/>
            <w:tcBorders>
              <w:top w:val="nil"/>
              <w:left w:val="nil"/>
              <w:bottom w:val="single" w:sz="4" w:space="0" w:color="auto"/>
              <w:right w:val="single" w:sz="4" w:space="0" w:color="auto"/>
            </w:tcBorders>
            <w:shd w:val="clear" w:color="auto" w:fill="auto"/>
            <w:noWrap/>
            <w:vAlign w:val="bottom"/>
            <w:hideMark/>
          </w:tcPr>
          <w:p w:rsidR="00482767" w:rsidRPr="00944DDE" w:rsidRDefault="00482767" w:rsidP="005647EC">
            <w:r w:rsidRPr="00944DDE">
              <w:t> </w:t>
            </w:r>
          </w:p>
        </w:tc>
      </w:tr>
      <w:tr w:rsidR="00482767" w:rsidRPr="00944DDE" w:rsidTr="00F0780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82767" w:rsidRPr="00944DDE" w:rsidRDefault="00482767" w:rsidP="00F07800">
            <w:pPr>
              <w:ind w:hanging="25"/>
              <w:rPr>
                <w:iCs/>
              </w:rPr>
            </w:pPr>
            <w:r w:rsidRPr="00944DDE">
              <w:rPr>
                <w:iCs/>
              </w:rPr>
              <w:t xml:space="preserve">HAC Standard Errors &amp; Covariance (Bartlett Kernel, </w:t>
            </w:r>
            <w:r w:rsidRPr="00944DDE">
              <w:rPr>
                <w:iCs/>
                <w:cs/>
              </w:rPr>
              <w:t>‎</w:t>
            </w:r>
            <w:proofErr w:type="spellStart"/>
            <w:r w:rsidRPr="00944DDE">
              <w:rPr>
                <w:iCs/>
              </w:rPr>
              <w:t>Newey</w:t>
            </w:r>
            <w:proofErr w:type="spellEnd"/>
            <w:r w:rsidRPr="00944DDE">
              <w:rPr>
                <w:iCs/>
              </w:rPr>
              <w:t>-West fixed</w:t>
            </w:r>
            <w:r w:rsidR="006A2643">
              <w:rPr>
                <w:iCs/>
              </w:rPr>
              <w:t>)</w:t>
            </w:r>
          </w:p>
        </w:tc>
      </w:tr>
    </w:tbl>
    <w:p w:rsidR="00482767" w:rsidRPr="00944DDE" w:rsidRDefault="00482767" w:rsidP="00DD4BA4">
      <w:pPr>
        <w:overflowPunct/>
        <w:autoSpaceDE/>
        <w:autoSpaceDN/>
        <w:adjustRightInd/>
        <w:ind w:firstLine="0"/>
        <w:contextualSpacing/>
        <w:textAlignment w:val="auto"/>
      </w:pPr>
      <w:r w:rsidRPr="00944DDE">
        <w:t xml:space="preserve">The regression results in Table 3 show a significant positive relationship between computer consulting services and labor productivity. However, the </w:t>
      </w:r>
      <w:proofErr w:type="spellStart"/>
      <w:r w:rsidRPr="00944DDE">
        <w:t>complementarity</w:t>
      </w:r>
      <w:proofErr w:type="spellEnd"/>
      <w:r w:rsidRPr="00944DDE">
        <w:t xml:space="preserve"> hypothesis states that using ICTs can only lead to productivity gains if a compleme</w:t>
      </w:r>
      <w:r w:rsidRPr="00944DDE">
        <w:t>n</w:t>
      </w:r>
      <w:r w:rsidRPr="00944DDE">
        <w:t>tary factor of production is in place. A firm may invest in industrial machinery to help with production. This industrial machinery needs programming specialists to operate and maintain it to become more efficient and productive. This can be done by either outsourcing specialists or hiring experts within the organization. It depends on the firm's size and the cost-benefit analysis. In general, hiring them remains the best o</w:t>
      </w:r>
      <w:r w:rsidRPr="00944DDE">
        <w:t>p</w:t>
      </w:r>
      <w:r w:rsidRPr="00944DDE">
        <w:t>tion if a large company wishes to hire experts. Considering that most institutions in Palestine are small to medium-sized, external consulting is the best solution. Compu</w:t>
      </w:r>
      <w:r w:rsidRPr="00944DDE">
        <w:t>t</w:t>
      </w:r>
      <w:r w:rsidRPr="00944DDE">
        <w:t>er consulting services, as complementary investments in software and hardware, are consistent with this study's result.</w:t>
      </w:r>
    </w:p>
    <w:p w:rsidR="00482767" w:rsidRPr="00944DDE" w:rsidRDefault="00482767" w:rsidP="00E507D1">
      <w:r w:rsidRPr="00944DDE">
        <w:t>The results show a significant positive relationship between computer programs and labor productivity. Therefore, this result means firms that have invested in co</w:t>
      </w:r>
      <w:r w:rsidRPr="00944DDE">
        <w:t>m</w:t>
      </w:r>
      <w:r w:rsidRPr="00944DDE">
        <w:t xml:space="preserve">puter programs have leveraged the benefits of ICT, including improving business operations, facilitating coordination, communication, and information processing, matching buyers and suppliers in the same field, and saving time. All these together improve productivity. This result was consistent with many previous research findings </w:t>
      </w:r>
      <w:r w:rsidR="001C3FE1" w:rsidRPr="00944DDE">
        <w:t>[</w:t>
      </w:r>
      <w:r w:rsidR="00E507D1" w:rsidRPr="00944DDE">
        <w:t xml:space="preserve">4, 29, </w:t>
      </w:r>
      <w:proofErr w:type="gramStart"/>
      <w:r w:rsidR="001C3FE1" w:rsidRPr="00944DDE">
        <w:t>30</w:t>
      </w:r>
      <w:proofErr w:type="gramEnd"/>
      <w:r w:rsidR="001C3FE1" w:rsidRPr="00944DDE">
        <w:t>]</w:t>
      </w:r>
      <w:r w:rsidRPr="00944DDE">
        <w:t>.</w:t>
      </w:r>
    </w:p>
    <w:p w:rsidR="00482767" w:rsidRPr="00240539" w:rsidRDefault="00482767" w:rsidP="00240539">
      <w:r w:rsidRPr="00240539">
        <w:t>As a result of colonial actions dividing Palestinian lands into distinct regions, we examined whether the geographical location influences labor productivity. The idea of splitting Palestine into three distinct regions for research reasons is also used by off</w:t>
      </w:r>
      <w:r w:rsidRPr="00240539">
        <w:t>i</w:t>
      </w:r>
      <w:r w:rsidRPr="00240539">
        <w:t>cial sources of statistics [</w:t>
      </w:r>
      <w:r w:rsidR="00DD4BA4" w:rsidRPr="00240539">
        <w:t>13</w:t>
      </w:r>
      <w:r w:rsidRPr="00240539">
        <w:t>]. Jerusalem, the West Bank, and Gaza are the three terr</w:t>
      </w:r>
      <w:r w:rsidRPr="00240539">
        <w:t>i</w:t>
      </w:r>
      <w:r w:rsidRPr="00240539">
        <w:t>tories. According to Table 3, the labor productivity of West Bank and Jerusalem e</w:t>
      </w:r>
      <w:r w:rsidRPr="00240539">
        <w:t>n</w:t>
      </w:r>
      <w:r w:rsidRPr="00240539">
        <w:t>terprises is greater than that of Gaza-based firms. This is due to the business activity gap between the West Bank and Gaza, which has a favorable effect on worker productivity in the industrial sector.</w:t>
      </w:r>
    </w:p>
    <w:p w:rsidR="00563808" w:rsidRPr="00944DDE" w:rsidRDefault="00240539" w:rsidP="00240539">
      <w:r w:rsidRPr="00240539">
        <w:t>This study's findings are significant for Palestinian businesses seeking productivity in a challenging economic and political context. Other investigations prepared the way for this objective [32–36]. However, this study has taken a novel way to achie</w:t>
      </w:r>
      <w:r w:rsidRPr="00240539">
        <w:t>v</w:t>
      </w:r>
      <w:r w:rsidRPr="00240539">
        <w:t>ing this objective, namely by employing ICT, and has discovered strong evidence of the success of such a strategy.</w:t>
      </w:r>
    </w:p>
    <w:p w:rsidR="00482767" w:rsidRPr="00944DDE" w:rsidRDefault="00482767" w:rsidP="00422E0A">
      <w:pPr>
        <w:pStyle w:val="heading1"/>
        <w:rPr>
          <w:lang w:bidi="ar-JO"/>
        </w:rPr>
      </w:pPr>
      <w:bookmarkStart w:id="4" w:name="_Toc112520549"/>
      <w:bookmarkStart w:id="5" w:name="_Toc114689755"/>
      <w:r w:rsidRPr="00944DDE">
        <w:rPr>
          <w:lang w:bidi="ar-JO"/>
        </w:rPr>
        <w:t>Conclusion</w:t>
      </w:r>
      <w:bookmarkEnd w:id="4"/>
      <w:bookmarkEnd w:id="5"/>
    </w:p>
    <w:p w:rsidR="00226819" w:rsidRDefault="00F412B0" w:rsidP="00226819">
      <w:pPr>
        <w:pStyle w:val="p1a"/>
      </w:pPr>
      <w:r w:rsidRPr="00F412B0">
        <w:t>This study explored the empirical connection between ICT utilization and labor productivity in the Palestinian industrial sector. Using multi-year cross-sectional data from 2013 to 2018, the results demonstrate that ICT factors have a positive impact on labor productivity. This shows that firms with a lower ICT intensity are less efficient than those with a higher ICT intensity.</w:t>
      </w:r>
    </w:p>
    <w:p w:rsidR="00226819" w:rsidRDefault="00F412B0" w:rsidP="003A4206">
      <w:pPr>
        <w:pStyle w:val="p1a"/>
      </w:pPr>
      <w:r w:rsidRPr="00F412B0">
        <w:t>In terms of geographical disparities in worker productivity, our data reveal that West Bank-based enterprises had higher scores than Gaza-based businesses. This result can be explained by Gaza's challenging political climate and siege. In view of Israel's embargo, which has had a negative impact on all economic sectors since 2006, the low productivity of the service industry in the Gaza Strip compared to the West Bank might be justified.</w:t>
      </w:r>
      <w:r w:rsidR="00226819">
        <w:t xml:space="preserve"> In addition, </w:t>
      </w:r>
      <w:r w:rsidR="003A4206">
        <w:t>many</w:t>
      </w:r>
      <w:r w:rsidR="00226819">
        <w:t xml:space="preserve"> Israeli attacks against Gaza devastated the esse</w:t>
      </w:r>
      <w:r w:rsidR="00226819">
        <w:t>n</w:t>
      </w:r>
      <w:r w:rsidR="00226819">
        <w:t>tial infrastructure for economic growth.</w:t>
      </w:r>
    </w:p>
    <w:p w:rsidR="00226819" w:rsidRDefault="001A79E7" w:rsidP="001A79E7">
      <w:pPr>
        <w:pStyle w:val="p1a"/>
      </w:pPr>
      <w:r w:rsidRPr="001A79E7">
        <w:t>As part of a long-term economic strategy, certain policies must be implemented in order for the ICT sector to be used as a tool for the growth of the Palestinian industrial sector, and policymakers must be offered with guidelines to retain the relationship between ICT entities and governing bodies.</w:t>
      </w:r>
    </w:p>
    <w:p w:rsidR="00226819" w:rsidRDefault="001A79E7" w:rsidP="001A79E7">
      <w:r w:rsidRPr="001A79E7">
        <w:t>Initially, the support of a knowledge-based economy is contingent upon the fina</w:t>
      </w:r>
      <w:r w:rsidRPr="001A79E7">
        <w:t>n</w:t>
      </w:r>
      <w:r w:rsidRPr="001A79E7">
        <w:t>cial and strategic commitments of government bodies. Second, the government should boost the regulatory and fiscal environment in ICT by updating ICT regulations (inte</w:t>
      </w:r>
      <w:r w:rsidRPr="001A79E7">
        <w:t>l</w:t>
      </w:r>
      <w:r w:rsidRPr="001A79E7">
        <w:t>lectual property rights, patents, etc.), promoting market competition, granting tax exemptions, and subsidizing ICT-intensive firms domestically. Thirdly, it should describe clear long-term strategies for the growth of the manufacturing sector and ICT employment, mostly based on conventional sector knowledge. Fourthly, it is crucial to improve relations between the public bodies headed by the Ministry of Teleco</w:t>
      </w:r>
      <w:r w:rsidRPr="001A79E7">
        <w:t>m</w:t>
      </w:r>
      <w:r w:rsidRPr="001A79E7">
        <w:t>munications and Information Technology and the ICT industry in order to reconstruct the Gaza Strip's demolished ICT infrastructure. The international community must help exert pressure on Israel to permit Palestinian ICT firms to import essential equipment. Fifthly, service firms must incorporate ICT-based labor into their planning and personnel strategies. This involves the extension of ICT infrastructure, an i</w:t>
      </w:r>
      <w:r w:rsidRPr="001A79E7">
        <w:t>n</w:t>
      </w:r>
      <w:r w:rsidRPr="001A79E7">
        <w:t>crease in ICT-related R&amp;D spending, and the expansion of ICT training programs for present and future employees in order to boost their proficiency with computer-based technologies. Sixth, in order to convert ICT policies into actual growth in the econ</w:t>
      </w:r>
      <w:r w:rsidRPr="001A79E7">
        <w:t>o</w:t>
      </w:r>
      <w:r w:rsidRPr="001A79E7">
        <w:t>my, it is critical to recognize the role of academia and research institutes in explaining to policymakers the importance of ICT development in Palestine.</w:t>
      </w:r>
    </w:p>
    <w:p w:rsidR="00482767" w:rsidRDefault="003A4206" w:rsidP="003A4206">
      <w:r w:rsidRPr="003A4206">
        <w:t>The limitations of this study stem from the data source. The only available data source was the PCBS, which does not guarantee all ICT-related variables, such as internet usage, and only provides data until 2018. Due to the COVID-19 pandemic, no data was available for 2019 or 2020. The researcher proposed future research into the impact of ICTs on labor in relation to other variables, including creativity and innov</w:t>
      </w:r>
      <w:r w:rsidRPr="003A4206">
        <w:t>a</w:t>
      </w:r>
      <w:r w:rsidRPr="003A4206">
        <w:t>tion, internet usage, labor skill, and organizational transformation. It is recommended that additional research be conducted to investigate the impact of ICTs on various West Bank and Gaza Strip industries. Also supported is the research of ICT manag</w:t>
      </w:r>
      <w:r w:rsidRPr="003A4206">
        <w:t>e</w:t>
      </w:r>
      <w:r w:rsidRPr="003A4206">
        <w:t>ment policies in Palestinian businesses.</w:t>
      </w:r>
    </w:p>
    <w:p w:rsidR="003A4206" w:rsidRPr="00482767" w:rsidRDefault="003A4206" w:rsidP="003A4206">
      <w:pPr>
        <w:rPr>
          <w:rFonts w:eastAsia="Calibri"/>
          <w:kern w:val="2"/>
          <w:sz w:val="22"/>
          <w:szCs w:val="22"/>
        </w:rPr>
      </w:pPr>
    </w:p>
    <w:p w:rsidR="00482767" w:rsidRPr="00482767" w:rsidRDefault="00482767" w:rsidP="00482767">
      <w:pPr>
        <w:keepNext/>
        <w:keepLines/>
        <w:tabs>
          <w:tab w:val="left" w:pos="270"/>
        </w:tabs>
        <w:overflowPunct/>
        <w:autoSpaceDE/>
        <w:autoSpaceDN/>
        <w:adjustRightInd/>
        <w:spacing w:line="276" w:lineRule="auto"/>
        <w:ind w:left="630" w:hanging="630"/>
        <w:contextualSpacing/>
        <w:textAlignment w:val="auto"/>
        <w:outlineLvl w:val="1"/>
        <w:rPr>
          <w:rFonts w:eastAsia="Calibri"/>
          <w:b/>
          <w:bCs/>
          <w:kern w:val="2"/>
          <w:sz w:val="22"/>
          <w:szCs w:val="22"/>
        </w:rPr>
      </w:pPr>
      <w:bookmarkStart w:id="6" w:name="_Toc114689759"/>
      <w:r w:rsidRPr="00482767">
        <w:rPr>
          <w:rFonts w:eastAsia="Calibri"/>
          <w:b/>
          <w:bCs/>
          <w:kern w:val="2"/>
          <w:sz w:val="22"/>
          <w:szCs w:val="22"/>
        </w:rPr>
        <w:t>References</w:t>
      </w:r>
      <w:bookmarkEnd w:id="6"/>
    </w:p>
    <w:p w:rsidR="00482767" w:rsidRPr="00944DDE" w:rsidRDefault="00482767" w:rsidP="00DD4BA4">
      <w:pPr>
        <w:pStyle w:val="referenceitem"/>
        <w:rPr>
          <w:rFonts w:eastAsia="MS Mincho"/>
          <w:noProof/>
        </w:rPr>
      </w:pPr>
      <w:r w:rsidRPr="00944DDE">
        <w:rPr>
          <w:rFonts w:eastAsia="MS Mincho"/>
          <w:noProof/>
        </w:rPr>
        <w:t xml:space="preserve">Pilat, Dirk. "The ICT productivity paradox: Insights from micro data." </w:t>
      </w:r>
      <w:r w:rsidRPr="00944DDE">
        <w:rPr>
          <w:rFonts w:eastAsia="MS Mincho"/>
          <w:i/>
          <w:iCs/>
          <w:noProof/>
        </w:rPr>
        <w:t>OECD economic studies 2004</w:t>
      </w:r>
      <w:r w:rsidRPr="00944DDE">
        <w:rPr>
          <w:rFonts w:eastAsia="MS Mincho"/>
          <w:noProof/>
        </w:rPr>
        <w:t xml:space="preserve"> (2005): 37-65.</w:t>
      </w:r>
    </w:p>
    <w:p w:rsidR="00482767" w:rsidRPr="00944DDE" w:rsidRDefault="005F7132" w:rsidP="005F7132">
      <w:pPr>
        <w:pStyle w:val="referenceitem"/>
        <w:rPr>
          <w:rFonts w:eastAsia="MS Mincho"/>
          <w:noProof/>
        </w:rPr>
      </w:pPr>
      <w:r w:rsidRPr="005F7132">
        <w:rPr>
          <w:rFonts w:eastAsia="MS Mincho"/>
          <w:noProof/>
        </w:rPr>
        <w:t>Abdeljawad, I., Hashem, S. Q., &amp; Rashid, M. (2022). Fintech and Islamic Financial Institutions: Applications and Challenges. </w:t>
      </w:r>
      <w:r w:rsidRPr="005F7132">
        <w:rPr>
          <w:rFonts w:eastAsia="MS Mincho"/>
          <w:i/>
          <w:iCs/>
          <w:noProof/>
        </w:rPr>
        <w:t>FinTech in Islamic Financial Institutions: Scope, Challenges, and Implications in Islamic Finance</w:t>
      </w:r>
      <w:r w:rsidRPr="005F7132">
        <w:rPr>
          <w:rFonts w:eastAsia="MS Mincho"/>
          <w:noProof/>
        </w:rPr>
        <w:t>, 193-222</w:t>
      </w:r>
      <w:r w:rsidR="00482767" w:rsidRPr="00944DDE">
        <w:rPr>
          <w:rFonts w:eastAsia="MS Mincho"/>
          <w:noProof/>
        </w:rPr>
        <w:t>.</w:t>
      </w:r>
    </w:p>
    <w:p w:rsidR="00482767" w:rsidRPr="00944DDE" w:rsidRDefault="003923F0" w:rsidP="00DD4BA4">
      <w:pPr>
        <w:pStyle w:val="referenceitem"/>
        <w:rPr>
          <w:rFonts w:eastAsia="MS Mincho"/>
          <w:noProof/>
        </w:rPr>
      </w:pPr>
      <w:r w:rsidRPr="00944DDE">
        <w:rPr>
          <w:rFonts w:eastAsia="MS Mincho"/>
          <w:noProof/>
        </w:rPr>
        <w:t>Taştan, H., &amp; Gönel, F. (2020). ICT labor, software usage, and productivity: Firm-level evidence from Turkey. Journal of Productivity Analysis, 53(2), 265-285.</w:t>
      </w:r>
      <w:r w:rsidRPr="00944DDE">
        <w:rPr>
          <w:rFonts w:eastAsia="MS Mincho"/>
          <w:noProof/>
          <w:rtl/>
        </w:rPr>
        <w:t>‏</w:t>
      </w:r>
      <w:r w:rsidRPr="00944DDE">
        <w:rPr>
          <w:rFonts w:eastAsia="MS Mincho"/>
          <w:noProof/>
        </w:rPr>
        <w:t xml:space="preserve"> https://link.springer.com/article/10.1007/s11123-020-00573-x</w:t>
      </w:r>
      <w:r w:rsidR="00482767" w:rsidRPr="00944DDE">
        <w:rPr>
          <w:rFonts w:eastAsia="MS Mincho"/>
          <w:noProof/>
        </w:rPr>
        <w:t>.</w:t>
      </w:r>
    </w:p>
    <w:p w:rsidR="00482767" w:rsidRPr="00944DDE" w:rsidRDefault="00C1285E" w:rsidP="00DD4BA4">
      <w:pPr>
        <w:pStyle w:val="referenceitem"/>
        <w:rPr>
          <w:rFonts w:eastAsia="MS Mincho"/>
          <w:noProof/>
        </w:rPr>
      </w:pPr>
      <w:r w:rsidRPr="00BE3D02">
        <w:rPr>
          <w:rFonts w:eastAsia="MS Mincho"/>
          <w:noProof/>
          <w:lang w:val="de-DE"/>
        </w:rPr>
        <w:t xml:space="preserve">Zhu, F., Li, Q., Yang, S., &amp; Balezentis, T. (2021). </w:t>
      </w:r>
      <w:r w:rsidRPr="00944DDE">
        <w:rPr>
          <w:rFonts w:eastAsia="MS Mincho"/>
          <w:noProof/>
        </w:rPr>
        <w:t>How ICT and R&amp;D affect productivity? Firm level evidence for China. Economic Research-Ekonomska Istraživanja,1-19</w:t>
      </w:r>
      <w:r w:rsidR="00482767" w:rsidRPr="00944DDE">
        <w:rPr>
          <w:rFonts w:eastAsia="MS Mincho"/>
          <w:noProof/>
        </w:rPr>
        <w:t xml:space="preserve">. </w:t>
      </w:r>
    </w:p>
    <w:p w:rsidR="00482767" w:rsidRPr="00944DDE" w:rsidRDefault="00C1285E" w:rsidP="00DD4BA4">
      <w:pPr>
        <w:pStyle w:val="referenceitem"/>
        <w:rPr>
          <w:rFonts w:eastAsia="MS Mincho"/>
          <w:noProof/>
        </w:rPr>
      </w:pPr>
      <w:r w:rsidRPr="00944DDE">
        <w:rPr>
          <w:rFonts w:eastAsia="MS Mincho"/>
          <w:noProof/>
        </w:rPr>
        <w:t>Shahnazi, R. (2021). Do information and communications technology spillovers affect labor productivity?. Structural Change and Economic Dynamics, 59, 342-359.</w:t>
      </w:r>
      <w:r w:rsidRPr="00944DDE">
        <w:rPr>
          <w:rFonts w:eastAsia="MS Mincho"/>
          <w:noProof/>
          <w:rtl/>
        </w:rPr>
        <w:t>‏</w:t>
      </w:r>
    </w:p>
    <w:p w:rsidR="00482767" w:rsidRPr="00944DDE" w:rsidRDefault="00C1285E" w:rsidP="00DD4BA4">
      <w:pPr>
        <w:pStyle w:val="referenceitem"/>
        <w:rPr>
          <w:rFonts w:eastAsia="MS Mincho"/>
          <w:noProof/>
        </w:rPr>
      </w:pPr>
      <w:r w:rsidRPr="00944DDE">
        <w:rPr>
          <w:rFonts w:eastAsia="MS Mincho"/>
          <w:noProof/>
        </w:rPr>
        <w:t>Aboal, D., &amp; Tacsir, E. (2018). Innovation and productivity in services and manufacturing: The role of ICT. Industrial and Corporate Change, 27(2), 221-241.</w:t>
      </w:r>
      <w:r w:rsidRPr="00944DDE">
        <w:rPr>
          <w:rFonts w:eastAsia="MS Mincho"/>
          <w:noProof/>
          <w:rtl/>
        </w:rPr>
        <w:t>‏</w:t>
      </w:r>
    </w:p>
    <w:p w:rsidR="00E507D1" w:rsidRPr="00944DDE" w:rsidRDefault="00E507D1" w:rsidP="00DD4BA4">
      <w:pPr>
        <w:pStyle w:val="referenceitem"/>
        <w:rPr>
          <w:rFonts w:eastAsia="Calibri"/>
          <w:noProof/>
          <w:kern w:val="2"/>
        </w:rPr>
      </w:pPr>
      <w:r w:rsidRPr="00944DDE">
        <w:rPr>
          <w:rFonts w:eastAsia="Calibri"/>
          <w:noProof/>
          <w:kern w:val="2"/>
        </w:rPr>
        <w:t xml:space="preserve">Kalwar MA, Khan MA, Phul Z, Wadho MH, Shahzad MF, Marri HB. The analysis of performance before and after ERP implementation: a case of a manufacturing company. </w:t>
      </w:r>
      <w:r w:rsidRPr="00944DDE">
        <w:rPr>
          <w:rFonts w:eastAsia="Calibri"/>
          <w:i/>
          <w:iCs/>
          <w:noProof/>
          <w:kern w:val="2"/>
        </w:rPr>
        <w:t>Journal of Applied Research in Technology &amp; Engineering</w:t>
      </w:r>
      <w:r w:rsidRPr="00944DDE">
        <w:rPr>
          <w:rFonts w:eastAsia="Calibri"/>
          <w:noProof/>
          <w:kern w:val="2"/>
        </w:rPr>
        <w:t>. 2022 Jul 29;3(2):115-21.</w:t>
      </w:r>
    </w:p>
    <w:p w:rsidR="00482767" w:rsidRPr="00944DDE" w:rsidRDefault="003923F0" w:rsidP="00DD4BA4">
      <w:pPr>
        <w:pStyle w:val="referenceitem"/>
        <w:rPr>
          <w:rFonts w:eastAsia="MS Mincho"/>
          <w:noProof/>
        </w:rPr>
      </w:pPr>
      <w:r w:rsidRPr="00944DDE">
        <w:rPr>
          <w:rFonts w:eastAsia="MS Mincho"/>
          <w:noProof/>
        </w:rPr>
        <w:t>Reenen, J. V. (2010). The Economic Impact of ICT SMART N. 2007/0020 January 2010. 65-74</w:t>
      </w:r>
      <w:r w:rsidR="00482767" w:rsidRPr="00944DDE">
        <w:rPr>
          <w:rFonts w:eastAsia="MS Mincho"/>
          <w:noProof/>
        </w:rPr>
        <w:t>.</w:t>
      </w:r>
    </w:p>
    <w:p w:rsidR="00482767" w:rsidRPr="00944DDE" w:rsidRDefault="00482767" w:rsidP="00DD4BA4">
      <w:pPr>
        <w:pStyle w:val="referenceitem"/>
        <w:rPr>
          <w:rFonts w:eastAsia="MS Mincho"/>
          <w:noProof/>
        </w:rPr>
      </w:pPr>
      <w:r w:rsidRPr="00944DDE">
        <w:rPr>
          <w:rFonts w:eastAsia="MS Mincho"/>
          <w:noProof/>
        </w:rPr>
        <w:t xml:space="preserve">Koellinger, Philipp. "The relationship between technology, innovation, and firm performance—Empirical evidence from e-business in Europe." </w:t>
      </w:r>
      <w:r w:rsidRPr="00944DDE">
        <w:rPr>
          <w:rFonts w:eastAsia="MS Mincho"/>
          <w:i/>
          <w:iCs/>
          <w:noProof/>
        </w:rPr>
        <w:t>Research policy</w:t>
      </w:r>
      <w:r w:rsidRPr="00944DDE">
        <w:rPr>
          <w:rFonts w:eastAsia="MS Mincho"/>
          <w:noProof/>
        </w:rPr>
        <w:t xml:space="preserve"> 37 (2008): 1317-1328.</w:t>
      </w:r>
    </w:p>
    <w:p w:rsidR="00482767" w:rsidRPr="00944DDE" w:rsidRDefault="00482767" w:rsidP="00DD4BA4">
      <w:pPr>
        <w:pStyle w:val="referenceitem"/>
        <w:rPr>
          <w:rFonts w:eastAsia="MS Mincho"/>
          <w:noProof/>
        </w:rPr>
      </w:pPr>
      <w:r w:rsidRPr="00944DDE">
        <w:rPr>
          <w:rFonts w:eastAsia="MS Mincho"/>
          <w:noProof/>
        </w:rPr>
        <w:t xml:space="preserve">Gargallo-Castel, Ana, and Carmen Galve-Górriz. </w:t>
      </w:r>
      <w:r w:rsidRPr="00944DDE">
        <w:rPr>
          <w:rFonts w:eastAsia="MS Mincho"/>
          <w:i/>
          <w:iCs/>
          <w:noProof/>
        </w:rPr>
        <w:t>The Impact of ICT on Productivity: The Moderating Role of Worker Quality and Quality Strategy</w:t>
      </w:r>
      <w:r w:rsidRPr="00944DDE">
        <w:rPr>
          <w:rFonts w:eastAsia="MS Mincho"/>
          <w:noProof/>
        </w:rPr>
        <w:t>. INTECH Open Access Publisher, 2012</w:t>
      </w:r>
    </w:p>
    <w:p w:rsidR="00482767" w:rsidRPr="00944DDE" w:rsidRDefault="00482767" w:rsidP="00DD4BA4">
      <w:pPr>
        <w:pStyle w:val="referenceitem"/>
        <w:rPr>
          <w:rFonts w:eastAsia="MS Mincho"/>
          <w:noProof/>
        </w:rPr>
      </w:pPr>
      <w:r w:rsidRPr="00944DDE">
        <w:rPr>
          <w:rFonts w:eastAsia="MS Mincho"/>
          <w:noProof/>
        </w:rPr>
        <w:t>OECD, DL. "</w:t>
      </w:r>
      <w:r w:rsidRPr="00944DDE">
        <w:rPr>
          <w:rFonts w:eastAsia="MS Mincho"/>
          <w:i/>
          <w:iCs/>
          <w:noProof/>
        </w:rPr>
        <w:t>The Economic Impact of ICT–Measurement, Evidence and Implications</w:t>
      </w:r>
      <w:r w:rsidRPr="00944DDE">
        <w:rPr>
          <w:rFonts w:eastAsia="MS Mincho"/>
          <w:noProof/>
        </w:rPr>
        <w:t>." Paris: Organization for Economic Cooperation and Development (2004).</w:t>
      </w:r>
    </w:p>
    <w:p w:rsidR="00482767" w:rsidRPr="00944DDE" w:rsidRDefault="00482767" w:rsidP="00DD4BA4">
      <w:pPr>
        <w:pStyle w:val="referenceitem"/>
        <w:rPr>
          <w:rFonts w:eastAsia="MS Mincho"/>
          <w:noProof/>
        </w:rPr>
      </w:pPr>
      <w:r w:rsidRPr="00944DDE">
        <w:rPr>
          <w:rFonts w:eastAsia="MS Mincho"/>
          <w:noProof/>
        </w:rPr>
        <w:t>UNCTAD, “Measuring the impact of ICT use in business: The case of manufacturing in Thailand” (2008). Available at http://www.unctad.org/en/docs/sdteecb20073_en.pdf</w:t>
      </w:r>
    </w:p>
    <w:p w:rsidR="00E507D1" w:rsidRPr="00944DDE" w:rsidRDefault="00E507D1" w:rsidP="00DD4BA4">
      <w:pPr>
        <w:pStyle w:val="referenceitem"/>
        <w:rPr>
          <w:rFonts w:eastAsia="MS Mincho"/>
          <w:noProof/>
        </w:rPr>
      </w:pPr>
      <w:r w:rsidRPr="00944DDE">
        <w:rPr>
          <w:rFonts w:eastAsia="MS Mincho"/>
          <w:noProof/>
        </w:rPr>
        <w:t xml:space="preserve">Palestinian Central Bureau of Statistics (PCBS), </w:t>
      </w:r>
      <w:r w:rsidRPr="00944DDE">
        <w:rPr>
          <w:rFonts w:eastAsia="MS Mincho"/>
          <w:i/>
          <w:iCs/>
          <w:noProof/>
        </w:rPr>
        <w:t>ICT Business Survey 2011: Main Findings</w:t>
      </w:r>
      <w:r w:rsidRPr="00944DDE">
        <w:rPr>
          <w:rFonts w:eastAsia="MS Mincho"/>
          <w:noProof/>
        </w:rPr>
        <w:t>. Ramallah - Palestine (2012).</w:t>
      </w:r>
    </w:p>
    <w:p w:rsidR="00E507D1" w:rsidRPr="00944DDE" w:rsidRDefault="00E507D1" w:rsidP="00DD4BA4">
      <w:pPr>
        <w:pStyle w:val="referenceitem"/>
        <w:rPr>
          <w:rFonts w:eastAsia="MS Mincho"/>
          <w:noProof/>
        </w:rPr>
      </w:pPr>
      <w:r w:rsidRPr="00944DDE">
        <w:rPr>
          <w:rFonts w:eastAsia="MS Mincho"/>
          <w:noProof/>
        </w:rPr>
        <w:t>Skorupinska A &amp; Torrent-Sellens J (2017) ICT, Innovation and productivity: Evidence based on Eastern European manufacturing companies .Journal of the Knwoledge Economy ,8(2),768-788.</w:t>
      </w:r>
    </w:p>
    <w:p w:rsidR="002B6258" w:rsidRPr="00944DDE" w:rsidRDefault="002B6258" w:rsidP="00DD4BA4">
      <w:pPr>
        <w:pStyle w:val="referenceitem"/>
        <w:rPr>
          <w:rFonts w:eastAsia="MS Mincho"/>
          <w:noProof/>
        </w:rPr>
      </w:pPr>
      <w:r w:rsidRPr="00944DDE">
        <w:rPr>
          <w:rFonts w:eastAsia="MS Mincho"/>
          <w:noProof/>
        </w:rPr>
        <w:t>Morrar, R., Abdeljawad, I., Jabr, S., Kisa, A., &amp; Younis, M. Z. (2019). The Role of Information and Communications Technology (ICT) in Enhancing Service Sector Productivity in Palestine: An International Perspective.  Journal of Global Information Management (JGIM), 27(1), 47-65.</w:t>
      </w:r>
      <w:r w:rsidRPr="00944DDE">
        <w:rPr>
          <w:rFonts w:eastAsia="MS Mincho"/>
          <w:noProof/>
          <w:rtl/>
        </w:rPr>
        <w:t>‏</w:t>
      </w:r>
    </w:p>
    <w:p w:rsidR="00482767" w:rsidRPr="00944DDE" w:rsidRDefault="00482767" w:rsidP="00DD4BA4">
      <w:pPr>
        <w:pStyle w:val="referenceitem"/>
        <w:rPr>
          <w:rFonts w:eastAsia="MS Mincho"/>
          <w:noProof/>
        </w:rPr>
      </w:pPr>
      <w:r w:rsidRPr="00944DDE">
        <w:rPr>
          <w:rFonts w:eastAsia="MS Mincho"/>
          <w:noProof/>
        </w:rPr>
        <w:t xml:space="preserve">Atrostic, Barbara K., and Sang V. Nguyen. </w:t>
      </w:r>
      <w:r w:rsidRPr="00944DDE">
        <w:rPr>
          <w:rFonts w:eastAsia="MS Mincho"/>
          <w:i/>
          <w:iCs/>
          <w:noProof/>
        </w:rPr>
        <w:t>Computer networks and US manufacturing plant productivity: new evidence from the CNUS data</w:t>
      </w:r>
      <w:r w:rsidRPr="00944DDE">
        <w:rPr>
          <w:rFonts w:eastAsia="MS Mincho"/>
          <w:noProof/>
        </w:rPr>
        <w:t>. Center for Economic Studies, US Department of Commerce, Bureau of the Census (2002).</w:t>
      </w:r>
    </w:p>
    <w:p w:rsidR="00482767" w:rsidRPr="00944DDE" w:rsidRDefault="00482767" w:rsidP="00DD4BA4">
      <w:pPr>
        <w:pStyle w:val="referenceitem"/>
        <w:rPr>
          <w:rFonts w:eastAsia="MS Mincho"/>
          <w:noProof/>
        </w:rPr>
      </w:pPr>
      <w:r w:rsidRPr="00944DDE">
        <w:rPr>
          <w:rFonts w:eastAsia="MS Mincho"/>
          <w:noProof/>
        </w:rPr>
        <w:t xml:space="preserve">Arvanitis, Spyros. "Information technology, workplace organization, human capital and firm productivity: evidence for the Swiss economy," in </w:t>
      </w:r>
      <w:r w:rsidRPr="00944DDE">
        <w:rPr>
          <w:rFonts w:eastAsia="MS Mincho"/>
          <w:i/>
          <w:iCs/>
          <w:noProof/>
        </w:rPr>
        <w:t>The Economic Impact of ICT: Measurement, Evidence, and Implications</w:t>
      </w:r>
      <w:r w:rsidRPr="00944DDE">
        <w:rPr>
          <w:rFonts w:eastAsia="MS Mincho"/>
          <w:noProof/>
        </w:rPr>
        <w:t xml:space="preserve"> (2004).</w:t>
      </w:r>
    </w:p>
    <w:p w:rsidR="00482767" w:rsidRPr="00944DDE" w:rsidRDefault="00482767" w:rsidP="00DD4BA4">
      <w:pPr>
        <w:pStyle w:val="referenceitem"/>
        <w:rPr>
          <w:rFonts w:eastAsia="MS Mincho"/>
          <w:noProof/>
        </w:rPr>
      </w:pPr>
      <w:r w:rsidRPr="00944DDE">
        <w:rPr>
          <w:rFonts w:eastAsia="MS Mincho"/>
          <w:noProof/>
        </w:rPr>
        <w:t>Atrostic, Barbara K., and Sang V. Nguyen, “IT and Productivity in U.S. Manufacturing: Do Computer Networks Matter?” Economic Inquiry, Western Economic Association International 43 (2005): 493-506.</w:t>
      </w:r>
    </w:p>
    <w:p w:rsidR="00482767" w:rsidRPr="00944DDE" w:rsidRDefault="00482767" w:rsidP="00DD4BA4">
      <w:pPr>
        <w:pStyle w:val="referenceitem"/>
        <w:rPr>
          <w:rFonts w:eastAsia="MS Mincho"/>
          <w:noProof/>
        </w:rPr>
      </w:pPr>
      <w:r w:rsidRPr="00944DDE">
        <w:rPr>
          <w:rFonts w:eastAsia="MS Mincho"/>
          <w:noProof/>
        </w:rPr>
        <w:t xml:space="preserve">Criscuolo, C., and K. Waldron. "Computer Network Use and Productivity in the United Kingdom." </w:t>
      </w:r>
      <w:r w:rsidRPr="00944DDE">
        <w:rPr>
          <w:rFonts w:eastAsia="MS Mincho"/>
          <w:i/>
          <w:iCs/>
          <w:noProof/>
        </w:rPr>
        <w:t>Centre for Research into Business Activity and Office of National Statistics, mimeo</w:t>
      </w:r>
      <w:r w:rsidRPr="00944DDE">
        <w:rPr>
          <w:rFonts w:eastAsia="MS Mincho"/>
          <w:noProof/>
        </w:rPr>
        <w:t xml:space="preserve"> (2003).</w:t>
      </w:r>
    </w:p>
    <w:p w:rsidR="00482767" w:rsidRPr="00944DDE" w:rsidRDefault="00482767" w:rsidP="00DD4BA4">
      <w:pPr>
        <w:pStyle w:val="referenceitem"/>
        <w:rPr>
          <w:rFonts w:eastAsia="MS Mincho"/>
          <w:noProof/>
        </w:rPr>
      </w:pPr>
      <w:r w:rsidRPr="00944DDE">
        <w:rPr>
          <w:rFonts w:eastAsia="MS Mincho"/>
          <w:noProof/>
        </w:rPr>
        <w:t xml:space="preserve">Gretton, Paul, Jyothi Gali, and Dean Parham. "The effects of ICTs and complementary innovations on Australian productivity growth," in </w:t>
      </w:r>
      <w:r w:rsidRPr="00944DDE">
        <w:rPr>
          <w:rFonts w:eastAsia="MS Mincho"/>
          <w:i/>
          <w:iCs/>
          <w:noProof/>
        </w:rPr>
        <w:t>The Economic Impact of ICT: Measurement, evidence and implications</w:t>
      </w:r>
      <w:r w:rsidRPr="00944DDE">
        <w:rPr>
          <w:rFonts w:eastAsia="MS Mincho"/>
          <w:noProof/>
        </w:rPr>
        <w:t xml:space="preserve"> (2004).</w:t>
      </w:r>
    </w:p>
    <w:p w:rsidR="00482767" w:rsidRPr="00944DDE" w:rsidRDefault="00482767" w:rsidP="00DD4BA4">
      <w:pPr>
        <w:pStyle w:val="referenceitem"/>
        <w:rPr>
          <w:rFonts w:eastAsia="MS Mincho"/>
          <w:noProof/>
        </w:rPr>
      </w:pPr>
      <w:r w:rsidRPr="00944DDE">
        <w:rPr>
          <w:rFonts w:eastAsia="MS Mincho"/>
          <w:noProof/>
        </w:rPr>
        <w:t xml:space="preserve">Maliranta, Mika, and Petri Rouvinen. "ICT and business productivity: Finnish micro-level evidence" in </w:t>
      </w:r>
      <w:r w:rsidRPr="00944DDE">
        <w:rPr>
          <w:rFonts w:eastAsia="MS Mincho"/>
          <w:i/>
          <w:iCs/>
          <w:noProof/>
        </w:rPr>
        <w:t>The Economic Impact of ICT; Measurement, Evidence and Implications</w:t>
      </w:r>
      <w:r w:rsidRPr="00944DDE">
        <w:rPr>
          <w:rFonts w:eastAsia="MS Mincho"/>
          <w:noProof/>
        </w:rPr>
        <w:t xml:space="preserve"> (2004).</w:t>
      </w:r>
    </w:p>
    <w:p w:rsidR="00482767" w:rsidRPr="00944DDE" w:rsidRDefault="00482767" w:rsidP="00DD4BA4">
      <w:pPr>
        <w:pStyle w:val="referenceitem"/>
        <w:rPr>
          <w:rFonts w:eastAsia="MS Mincho"/>
          <w:noProof/>
        </w:rPr>
      </w:pPr>
      <w:r w:rsidRPr="00944DDE">
        <w:rPr>
          <w:rFonts w:eastAsia="MS Mincho"/>
          <w:noProof/>
        </w:rPr>
        <w:t xml:space="preserve">Thuvasethakul, Chadamas, and Thaweesak Koanantakool. "National ICT policy in Thailand." In </w:t>
      </w:r>
      <w:r w:rsidRPr="00944DDE">
        <w:rPr>
          <w:rFonts w:eastAsia="MS Mincho"/>
          <w:i/>
          <w:iCs/>
          <w:noProof/>
        </w:rPr>
        <w:t>Africa-Asia Workshop</w:t>
      </w:r>
      <w:r w:rsidRPr="00944DDE">
        <w:rPr>
          <w:rFonts w:eastAsia="MS Mincho"/>
          <w:noProof/>
        </w:rPr>
        <w:t>, pp. 25-29. 2002.</w:t>
      </w:r>
    </w:p>
    <w:p w:rsidR="00482767" w:rsidRPr="00944DDE" w:rsidRDefault="00482767" w:rsidP="00DD4BA4">
      <w:pPr>
        <w:pStyle w:val="referenceitem"/>
        <w:rPr>
          <w:rFonts w:eastAsia="MS Mincho"/>
          <w:noProof/>
        </w:rPr>
      </w:pPr>
      <w:r w:rsidRPr="00944DDE">
        <w:rPr>
          <w:rFonts w:eastAsia="MS Mincho"/>
          <w:noProof/>
        </w:rPr>
        <w:t xml:space="preserve">Doms, Mark E., Ron S. Jarmin†, and Shawn D. Klimek‡. "Information technology investment and firm performance in US retail trade." </w:t>
      </w:r>
      <w:r w:rsidRPr="00944DDE">
        <w:rPr>
          <w:rFonts w:eastAsia="MS Mincho"/>
          <w:i/>
          <w:iCs/>
          <w:noProof/>
        </w:rPr>
        <w:t>Economics of Innovation and New Technology</w:t>
      </w:r>
      <w:r w:rsidRPr="00944DDE">
        <w:rPr>
          <w:rFonts w:eastAsia="MS Mincho"/>
          <w:noProof/>
        </w:rPr>
        <w:t xml:space="preserve"> 13 (2004): 595-613.</w:t>
      </w:r>
    </w:p>
    <w:p w:rsidR="00482767" w:rsidRPr="00944DDE" w:rsidRDefault="00482767" w:rsidP="00DD4BA4">
      <w:pPr>
        <w:pStyle w:val="referenceitem"/>
        <w:rPr>
          <w:rFonts w:eastAsia="MS Mincho"/>
          <w:noProof/>
        </w:rPr>
      </w:pPr>
      <w:r w:rsidRPr="00944DDE">
        <w:rPr>
          <w:rFonts w:eastAsia="MS Mincho"/>
          <w:noProof/>
        </w:rPr>
        <w:t xml:space="preserve">Farooqui, Shikeb. "Information and Communication Technology use and productivity." </w:t>
      </w:r>
      <w:r w:rsidRPr="00944DDE">
        <w:rPr>
          <w:rFonts w:eastAsia="MS Mincho"/>
          <w:i/>
          <w:iCs/>
          <w:noProof/>
        </w:rPr>
        <w:t>Economic Trends</w:t>
      </w:r>
      <w:r w:rsidRPr="00944DDE">
        <w:rPr>
          <w:rFonts w:eastAsia="MS Mincho"/>
          <w:noProof/>
        </w:rPr>
        <w:t xml:space="preserve"> 625 (2005): 273-317.</w:t>
      </w:r>
    </w:p>
    <w:p w:rsidR="00482767" w:rsidRPr="00944DDE" w:rsidRDefault="00482767" w:rsidP="00DD4BA4">
      <w:pPr>
        <w:pStyle w:val="referenceitem"/>
        <w:rPr>
          <w:rFonts w:eastAsia="MS Mincho"/>
          <w:noProof/>
        </w:rPr>
      </w:pPr>
      <w:r w:rsidRPr="00944DDE">
        <w:rPr>
          <w:rFonts w:eastAsia="MS Mincho"/>
          <w:noProof/>
        </w:rPr>
        <w:t xml:space="preserve">Baldwin, John R., Brent Diverty, and David Sabourin. "Technology use and industrial transformation: empirical perspectives." </w:t>
      </w:r>
      <w:r w:rsidRPr="00944DDE">
        <w:rPr>
          <w:rFonts w:eastAsia="MS Mincho"/>
          <w:i/>
          <w:iCs/>
          <w:noProof/>
        </w:rPr>
        <w:t>Statistics Canada working paper</w:t>
      </w:r>
      <w:r w:rsidRPr="00944DDE">
        <w:rPr>
          <w:rFonts w:eastAsia="MS Mincho"/>
          <w:noProof/>
        </w:rPr>
        <w:t xml:space="preserve"> 75 (1995).</w:t>
      </w:r>
    </w:p>
    <w:p w:rsidR="00482767" w:rsidRPr="00944DDE" w:rsidRDefault="00482767" w:rsidP="00DD4BA4">
      <w:pPr>
        <w:pStyle w:val="referenceitem"/>
        <w:rPr>
          <w:rFonts w:eastAsia="MS Mincho"/>
          <w:noProof/>
        </w:rPr>
      </w:pPr>
      <w:r w:rsidRPr="00944DDE">
        <w:rPr>
          <w:rFonts w:eastAsia="MS Mincho"/>
          <w:noProof/>
        </w:rPr>
        <w:t xml:space="preserve">Entorf, H., and Kramarz, F., “The Impact of New Technologies on Wages: Lessons from Matching Panels on Employees and on their Firms”, </w:t>
      </w:r>
      <w:r w:rsidRPr="00944DDE">
        <w:rPr>
          <w:rFonts w:eastAsia="MS Mincho"/>
          <w:i/>
          <w:iCs/>
          <w:noProof/>
        </w:rPr>
        <w:t>Economic Innovation and New Technology</w:t>
      </w:r>
      <w:r w:rsidRPr="00944DDE">
        <w:rPr>
          <w:rFonts w:eastAsia="MS Mincho"/>
          <w:noProof/>
        </w:rPr>
        <w:t xml:space="preserve"> 5 (1998):165-198.</w:t>
      </w:r>
    </w:p>
    <w:p w:rsidR="00482767" w:rsidRPr="00944DDE" w:rsidRDefault="00482767" w:rsidP="00DD4BA4">
      <w:pPr>
        <w:pStyle w:val="referenceitem"/>
        <w:rPr>
          <w:rFonts w:eastAsia="MS Mincho"/>
          <w:noProof/>
        </w:rPr>
      </w:pPr>
      <w:r w:rsidRPr="00944DDE">
        <w:rPr>
          <w:rFonts w:eastAsia="MS Mincho"/>
          <w:noProof/>
        </w:rPr>
        <w:t xml:space="preserve">Charlo, Griselda. "Impact of ICT and innovation on industrial productivity in Uruguay," in </w:t>
      </w:r>
      <w:r w:rsidRPr="00944DDE">
        <w:rPr>
          <w:rFonts w:eastAsia="MS Mincho"/>
          <w:i/>
          <w:iCs/>
          <w:noProof/>
        </w:rPr>
        <w:t>ICT in Latin America</w:t>
      </w:r>
      <w:r w:rsidRPr="00944DDE">
        <w:rPr>
          <w:rFonts w:eastAsia="MS Mincho"/>
          <w:noProof/>
        </w:rPr>
        <w:t xml:space="preserve"> (2011).</w:t>
      </w:r>
    </w:p>
    <w:p w:rsidR="00482767" w:rsidRPr="00944DDE" w:rsidRDefault="00482767" w:rsidP="00DD4BA4">
      <w:pPr>
        <w:pStyle w:val="referenceitem"/>
        <w:rPr>
          <w:rFonts w:eastAsia="MS Mincho"/>
          <w:noProof/>
        </w:rPr>
      </w:pPr>
      <w:r w:rsidRPr="00944DDE">
        <w:rPr>
          <w:rFonts w:eastAsia="MS Mincho"/>
          <w:noProof/>
        </w:rPr>
        <w:t xml:space="preserve">Hempell, Thomas, Henry van der Wiel, and George van Leeuwen. "ICT, Innovation and Business Performance in Services," in </w:t>
      </w:r>
      <w:r w:rsidRPr="00944DDE">
        <w:rPr>
          <w:rFonts w:eastAsia="MS Mincho"/>
          <w:i/>
          <w:iCs/>
          <w:noProof/>
        </w:rPr>
        <w:t>The Economic Impact of ICT: Measurement, evidence and implications</w:t>
      </w:r>
      <w:r w:rsidRPr="00944DDE">
        <w:rPr>
          <w:rFonts w:eastAsia="MS Mincho"/>
          <w:noProof/>
        </w:rPr>
        <w:t xml:space="preserve"> (2004).</w:t>
      </w:r>
    </w:p>
    <w:p w:rsidR="002B6258" w:rsidRPr="00944DDE" w:rsidRDefault="002B6258" w:rsidP="00DD4BA4">
      <w:pPr>
        <w:pStyle w:val="referenceitem"/>
        <w:rPr>
          <w:rFonts w:eastAsia="Calibri"/>
          <w:noProof/>
          <w:kern w:val="2"/>
        </w:rPr>
      </w:pPr>
      <w:r w:rsidRPr="00944DDE">
        <w:rPr>
          <w:rFonts w:eastAsia="Calibri"/>
          <w:noProof/>
          <w:kern w:val="2"/>
        </w:rPr>
        <w:t xml:space="preserve">Engelstätter, B. (2009). Enterprise systems and labor productivity: Disentangling combination effects (No. 09-040). ZEW Discussion Papers, ZEW - </w:t>
      </w:r>
      <w:r w:rsidRPr="00944DDE">
        <w:rPr>
          <w:rFonts w:eastAsia="Calibri"/>
          <w:i/>
          <w:iCs/>
          <w:noProof/>
          <w:kern w:val="2"/>
        </w:rPr>
        <w:t>Leibniz Centre for European Economic Research</w:t>
      </w:r>
      <w:r w:rsidRPr="00944DDE">
        <w:rPr>
          <w:rFonts w:eastAsia="Calibri"/>
          <w:noProof/>
          <w:kern w:val="2"/>
        </w:rPr>
        <w:t xml:space="preserve">. </w:t>
      </w:r>
      <w:hyperlink r:id="rId7" w:history="1">
        <w:r w:rsidRPr="00944DDE">
          <w:rPr>
            <w:rFonts w:eastAsia="Calibri"/>
            <w:noProof/>
            <w:kern w:val="2"/>
          </w:rPr>
          <w:t>https://www.econstor.eu/handle/10419/27764</w:t>
        </w:r>
      </w:hyperlink>
    </w:p>
    <w:p w:rsidR="002B6258" w:rsidRPr="00944DDE" w:rsidRDefault="002B6258" w:rsidP="00DD4BA4">
      <w:pPr>
        <w:pStyle w:val="referenceitem"/>
        <w:rPr>
          <w:rFonts w:eastAsia="Calibri"/>
          <w:noProof/>
          <w:kern w:val="2"/>
        </w:rPr>
      </w:pPr>
      <w:r w:rsidRPr="00944DDE">
        <w:rPr>
          <w:rFonts w:eastAsia="Calibri"/>
          <w:noProof/>
          <w:kern w:val="2"/>
        </w:rPr>
        <w:t xml:space="preserve">Kalwar MA, Khan MA, Phul Z, Wadho MH, Shahzad MF, Marri HB. The analysis of performance before and after ERP implementation: a case of a manufacturing company. </w:t>
      </w:r>
      <w:r w:rsidRPr="00944DDE">
        <w:rPr>
          <w:rFonts w:eastAsia="Calibri"/>
          <w:i/>
          <w:iCs/>
          <w:noProof/>
          <w:kern w:val="2"/>
        </w:rPr>
        <w:t>Journal of Applied Research in Technology &amp; Engineering</w:t>
      </w:r>
      <w:r w:rsidRPr="00944DDE">
        <w:rPr>
          <w:rFonts w:eastAsia="Calibri"/>
          <w:noProof/>
          <w:kern w:val="2"/>
        </w:rPr>
        <w:t>. 2022 Jul 29;3(2):115-21.</w:t>
      </w:r>
    </w:p>
    <w:p w:rsidR="002B6258" w:rsidRPr="006703C1" w:rsidRDefault="002B6258" w:rsidP="00DD4BA4">
      <w:pPr>
        <w:pStyle w:val="referenceitem"/>
        <w:rPr>
          <w:rFonts w:eastAsia="Calibri"/>
          <w:i/>
          <w:iCs/>
          <w:noProof/>
          <w:kern w:val="2"/>
        </w:rPr>
      </w:pPr>
      <w:r w:rsidRPr="00944DDE">
        <w:rPr>
          <w:rFonts w:eastAsia="Calibri"/>
          <w:noProof/>
          <w:kern w:val="2"/>
        </w:rPr>
        <w:t>Brynjolfsson, E., &amp; Hitt, L. M. (2003). Computing productivity: Firm-level evidence.</w:t>
      </w:r>
      <w:r w:rsidRPr="00944DDE">
        <w:rPr>
          <w:rFonts w:eastAsia="Calibri"/>
          <w:i/>
          <w:iCs/>
          <w:noProof/>
          <w:kern w:val="2"/>
        </w:rPr>
        <w:t> Review of Economics and Statistics, 85(4), 793-808.</w:t>
      </w:r>
    </w:p>
    <w:p w:rsidR="006703C1" w:rsidRPr="006703C1" w:rsidRDefault="006703C1" w:rsidP="006703C1">
      <w:pPr>
        <w:pStyle w:val="referenceitem"/>
        <w:rPr>
          <w:rFonts w:eastAsia="Calibri"/>
          <w:noProof/>
          <w:kern w:val="2"/>
        </w:rPr>
      </w:pPr>
      <w:r w:rsidRPr="006703C1">
        <w:rPr>
          <w:rFonts w:eastAsia="Calibri"/>
          <w:noProof/>
          <w:kern w:val="2"/>
        </w:rPr>
        <w:t xml:space="preserve">Abdeljawad, I. and A. Bahlaq, </w:t>
      </w:r>
      <w:r w:rsidRPr="006703C1">
        <w:rPr>
          <w:rFonts w:eastAsia="Calibri"/>
          <w:i/>
          <w:noProof/>
          <w:kern w:val="2"/>
        </w:rPr>
        <w:t>Determinants of Net Interest Margin for Banks Operating in Palestine.</w:t>
      </w:r>
      <w:r w:rsidRPr="006703C1">
        <w:rPr>
          <w:rFonts w:eastAsia="Calibri"/>
          <w:noProof/>
          <w:kern w:val="2"/>
        </w:rPr>
        <w:t xml:space="preserve"> An-Najah University Journal for Research - B (Humanities), 2023. </w:t>
      </w:r>
      <w:r w:rsidRPr="006703C1">
        <w:rPr>
          <w:rFonts w:eastAsia="Calibri"/>
          <w:b/>
          <w:noProof/>
          <w:kern w:val="2"/>
        </w:rPr>
        <w:t>37</w:t>
      </w:r>
      <w:r w:rsidRPr="006703C1">
        <w:rPr>
          <w:rFonts w:eastAsia="Calibri"/>
          <w:noProof/>
          <w:kern w:val="2"/>
        </w:rPr>
        <w:t>(8).</w:t>
      </w:r>
    </w:p>
    <w:p w:rsidR="006703C1" w:rsidRPr="006703C1" w:rsidRDefault="006703C1" w:rsidP="006703C1">
      <w:pPr>
        <w:pStyle w:val="referenceitem"/>
        <w:rPr>
          <w:rFonts w:eastAsia="Calibri"/>
          <w:noProof/>
          <w:kern w:val="2"/>
        </w:rPr>
      </w:pPr>
      <w:bookmarkStart w:id="7" w:name="_ENREF_2"/>
      <w:r w:rsidRPr="006703C1">
        <w:rPr>
          <w:rFonts w:eastAsia="Calibri"/>
          <w:noProof/>
          <w:kern w:val="2"/>
        </w:rPr>
        <w:t xml:space="preserve">Abdeljawad, I., L.M. Dwaikat, and G. Oweidat, </w:t>
      </w:r>
      <w:r w:rsidRPr="006703C1">
        <w:rPr>
          <w:rFonts w:eastAsia="Calibri"/>
          <w:i/>
          <w:noProof/>
          <w:kern w:val="2"/>
        </w:rPr>
        <w:t>The Determinants of Profitability of Insurance Companies in Palestine.</w:t>
      </w:r>
      <w:r w:rsidRPr="006703C1">
        <w:rPr>
          <w:rFonts w:eastAsia="Calibri"/>
          <w:noProof/>
          <w:kern w:val="2"/>
        </w:rPr>
        <w:t xml:space="preserve"> An-Najah University Journal for Research - B (Humanities), 2022. </w:t>
      </w:r>
      <w:r w:rsidRPr="006703C1">
        <w:rPr>
          <w:rFonts w:eastAsia="Calibri"/>
          <w:b/>
          <w:noProof/>
          <w:kern w:val="2"/>
        </w:rPr>
        <w:t>36</w:t>
      </w:r>
      <w:r w:rsidRPr="006703C1">
        <w:rPr>
          <w:rFonts w:eastAsia="Calibri"/>
          <w:noProof/>
          <w:kern w:val="2"/>
        </w:rPr>
        <w:t>(2): p. 439-468.</w:t>
      </w:r>
      <w:bookmarkEnd w:id="7"/>
    </w:p>
    <w:p w:rsidR="006703C1" w:rsidRPr="006703C1" w:rsidRDefault="006703C1" w:rsidP="006703C1">
      <w:pPr>
        <w:pStyle w:val="referenceitem"/>
        <w:rPr>
          <w:rFonts w:eastAsia="Calibri"/>
          <w:noProof/>
          <w:kern w:val="2"/>
        </w:rPr>
      </w:pPr>
      <w:bookmarkStart w:id="8" w:name="_ENREF_3"/>
      <w:r w:rsidRPr="006703C1">
        <w:rPr>
          <w:rFonts w:eastAsia="Calibri"/>
          <w:noProof/>
          <w:kern w:val="2"/>
        </w:rPr>
        <w:t xml:space="preserve">Abdeljawad, I. and R.M. Masri, </w:t>
      </w:r>
      <w:r w:rsidRPr="006703C1">
        <w:rPr>
          <w:rFonts w:eastAsia="Calibri"/>
          <w:i/>
          <w:noProof/>
          <w:kern w:val="2"/>
        </w:rPr>
        <w:t>Board Characteristics and Corporate Performance: Evidence From Palestine.</w:t>
      </w:r>
      <w:r w:rsidRPr="006703C1">
        <w:rPr>
          <w:rFonts w:eastAsia="Calibri"/>
          <w:noProof/>
          <w:kern w:val="2"/>
        </w:rPr>
        <w:t xml:space="preserve"> An-Najah University Journal for Research-B (Humanities), 2020. </w:t>
      </w:r>
      <w:r w:rsidRPr="006703C1">
        <w:rPr>
          <w:rFonts w:eastAsia="Calibri"/>
          <w:b/>
          <w:noProof/>
          <w:kern w:val="2"/>
        </w:rPr>
        <w:t>34</w:t>
      </w:r>
      <w:r w:rsidRPr="006703C1">
        <w:rPr>
          <w:rFonts w:eastAsia="Calibri"/>
          <w:noProof/>
          <w:kern w:val="2"/>
        </w:rPr>
        <w:t>(4): p. 745-770.</w:t>
      </w:r>
      <w:bookmarkEnd w:id="8"/>
    </w:p>
    <w:p w:rsidR="006703C1" w:rsidRPr="006703C1" w:rsidRDefault="006703C1" w:rsidP="006703C1">
      <w:pPr>
        <w:pStyle w:val="referenceitem"/>
        <w:rPr>
          <w:rFonts w:eastAsia="Calibri"/>
          <w:noProof/>
          <w:kern w:val="2"/>
        </w:rPr>
      </w:pPr>
      <w:bookmarkStart w:id="9" w:name="_ENREF_4"/>
      <w:r w:rsidRPr="006703C1">
        <w:rPr>
          <w:rFonts w:eastAsia="Calibri"/>
          <w:noProof/>
          <w:kern w:val="2"/>
        </w:rPr>
        <w:t xml:space="preserve">Nour, A., B. Bouqalieh, and S. Okour, </w:t>
      </w:r>
      <w:r w:rsidRPr="006703C1">
        <w:rPr>
          <w:rFonts w:eastAsia="Calibri"/>
          <w:i/>
          <w:noProof/>
          <w:kern w:val="2"/>
        </w:rPr>
        <w:t>The impact of institutional governance mechanisms on the dimensions of the efficiency of intellectual capital and the role of the size of the company in the Jordanian Shareholding industrial companies.</w:t>
      </w:r>
      <w:r w:rsidRPr="006703C1">
        <w:rPr>
          <w:rFonts w:eastAsia="Calibri"/>
          <w:noProof/>
          <w:kern w:val="2"/>
        </w:rPr>
        <w:t xml:space="preserve"> An-Najah University Journal for Research-B (Humanities), 2020. </w:t>
      </w:r>
      <w:r w:rsidRPr="006703C1">
        <w:rPr>
          <w:rFonts w:eastAsia="Calibri"/>
          <w:b/>
          <w:noProof/>
          <w:kern w:val="2"/>
        </w:rPr>
        <w:t>36</w:t>
      </w:r>
      <w:r w:rsidRPr="006703C1">
        <w:rPr>
          <w:rFonts w:eastAsia="Calibri"/>
          <w:noProof/>
          <w:kern w:val="2"/>
        </w:rPr>
        <w:t>(10): p. 2181-2212.</w:t>
      </w:r>
      <w:bookmarkEnd w:id="9"/>
    </w:p>
    <w:p w:rsidR="006703C1" w:rsidRPr="006703C1" w:rsidRDefault="006703C1" w:rsidP="006703C1">
      <w:pPr>
        <w:pStyle w:val="referenceitem"/>
        <w:rPr>
          <w:rFonts w:eastAsia="Calibri"/>
          <w:noProof/>
          <w:kern w:val="2"/>
        </w:rPr>
      </w:pPr>
      <w:bookmarkStart w:id="10" w:name="_ENREF_5"/>
      <w:r w:rsidRPr="006703C1">
        <w:rPr>
          <w:rFonts w:eastAsia="Calibri"/>
          <w:noProof/>
          <w:kern w:val="2"/>
        </w:rPr>
        <w:t xml:space="preserve">Nour, A. and K. AL Momani, </w:t>
      </w:r>
      <w:r w:rsidRPr="006703C1">
        <w:rPr>
          <w:rFonts w:eastAsia="Calibri"/>
          <w:i/>
          <w:noProof/>
          <w:kern w:val="2"/>
        </w:rPr>
        <w:t>The influence of human capital on return of equity among banks listed in the Amman stock exchange.</w:t>
      </w:r>
      <w:r w:rsidRPr="006703C1">
        <w:rPr>
          <w:rFonts w:eastAsia="Calibri"/>
          <w:noProof/>
          <w:kern w:val="2"/>
        </w:rPr>
        <w:t xml:space="preserve"> An-Najah University Journal for Research-B (Humanities), 2021. </w:t>
      </w:r>
      <w:r w:rsidRPr="006703C1">
        <w:rPr>
          <w:rFonts w:eastAsia="Calibri"/>
          <w:b/>
          <w:noProof/>
          <w:kern w:val="2"/>
        </w:rPr>
        <w:t>35</w:t>
      </w:r>
      <w:r w:rsidRPr="006703C1">
        <w:rPr>
          <w:rFonts w:eastAsia="Calibri"/>
          <w:noProof/>
          <w:kern w:val="2"/>
        </w:rPr>
        <w:t>(9): p. 5.</w:t>
      </w:r>
      <w:bookmarkEnd w:id="10"/>
    </w:p>
    <w:p w:rsidR="006703C1" w:rsidRPr="00944DDE" w:rsidRDefault="006703C1" w:rsidP="006703C1">
      <w:pPr>
        <w:pStyle w:val="referenceitem"/>
        <w:numPr>
          <w:ilvl w:val="0"/>
          <w:numId w:val="0"/>
        </w:numPr>
        <w:ind w:left="340" w:hanging="113"/>
        <w:rPr>
          <w:rFonts w:eastAsia="Calibri"/>
          <w:i/>
          <w:iCs/>
          <w:noProof/>
          <w:kern w:val="2"/>
        </w:rPr>
      </w:pPr>
    </w:p>
    <w:sectPr w:rsidR="006703C1" w:rsidRPr="00944DDE" w:rsidSect="009F7FCE">
      <w:headerReference w:type="even" r:id="rId8"/>
      <w:headerReference w:type="default" r:id="rId9"/>
      <w:pgSz w:w="11906" w:h="16838" w:code="9"/>
      <w:pgMar w:top="2948" w:right="2494" w:bottom="2948" w:left="2494" w:header="2381" w:footer="2324" w:gutter="0"/>
      <w:cols w:space="227"/>
      <w:titlePg/>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F52" w:rsidRDefault="005A4F52">
      <w:r>
        <w:separator/>
      </w:r>
    </w:p>
  </w:endnote>
  <w:endnote w:type="continuationSeparator" w:id="0">
    <w:p w:rsidR="005A4F52" w:rsidRDefault="005A4F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F52" w:rsidRDefault="005A4F52" w:rsidP="009F7FCE">
      <w:pPr>
        <w:ind w:firstLine="0"/>
      </w:pPr>
      <w:r>
        <w:separator/>
      </w:r>
    </w:p>
  </w:footnote>
  <w:footnote w:type="continuationSeparator" w:id="0">
    <w:p w:rsidR="005A4F52" w:rsidRDefault="005A4F52" w:rsidP="009F7FCE">
      <w:pPr>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8" w:rsidRDefault="00943A6D" w:rsidP="00F321B4">
    <w:pPr>
      <w:pStyle w:val="Header"/>
    </w:pPr>
    <w:r>
      <w:fldChar w:fldCharType="begin"/>
    </w:r>
    <w:r w:rsidR="00563808">
      <w:instrText>PAGE   \* MERGEFORMAT</w:instrText>
    </w:r>
    <w:r>
      <w:fldChar w:fldCharType="separate"/>
    </w:r>
    <w:r w:rsidR="00BE3D02">
      <w:rPr>
        <w:noProof/>
      </w:rPr>
      <w:t>10</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08" w:rsidRDefault="00943A6D" w:rsidP="002D48C5">
    <w:pPr>
      <w:pStyle w:val="Header"/>
      <w:jc w:val="right"/>
    </w:pPr>
    <w:r>
      <w:fldChar w:fldCharType="begin"/>
    </w:r>
    <w:r w:rsidR="00563808">
      <w:instrText>PAGE   \* MERGEFORMAT</w:instrText>
    </w:r>
    <w:r>
      <w:fldChar w:fldCharType="separate"/>
    </w:r>
    <w:r w:rsidR="00BE3D02">
      <w:rPr>
        <w:noProof/>
      </w:rPr>
      <w:t>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1F663201"/>
    <w:multiLevelType w:val="multilevel"/>
    <w:tmpl w:val="16C6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27B0A"/>
    <w:multiLevelType w:val="hybridMultilevel"/>
    <w:tmpl w:val="DC9E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4">
    <w:nsid w:val="70F10B2D"/>
    <w:multiLevelType w:val="hybridMultilevel"/>
    <w:tmpl w:val="F114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7">
    <w:nsid w:val="7D9521C8"/>
    <w:multiLevelType w:val="multilevel"/>
    <w:tmpl w:val="930CC57E"/>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3"/>
  </w:num>
  <w:num w:numId="4">
    <w:abstractNumId w:val="3"/>
  </w:num>
  <w:num w:numId="5">
    <w:abstractNumId w:val="6"/>
  </w:num>
  <w:num w:numId="6">
    <w:abstractNumId w:val="6"/>
  </w:num>
  <w:num w:numId="7">
    <w:abstractNumId w:val="5"/>
  </w:num>
  <w:num w:numId="8">
    <w:abstractNumId w:val="7"/>
  </w:num>
  <w:num w:numId="9">
    <w:abstractNumId w:val="7"/>
  </w:num>
  <w:num w:numId="10">
    <w:abstractNumId w:val="4"/>
  </w:num>
  <w:num w:numId="11">
    <w:abstractNumId w:val="2"/>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0001"/>
  <w:defaultTabStop w:val="227"/>
  <w:autoHyphenation/>
  <w:hyphenationZone w:val="400"/>
  <w:doNotHyphenateCaps/>
  <w:evenAndOddHeaders/>
  <w:noPunctuationKerning/>
  <w:characterSpacingControl w:val="doNotCompress"/>
  <w:savePreviewPicture/>
  <w:footnotePr>
    <w:footnote w:id="-1"/>
    <w:footnote w:id="0"/>
  </w:footnotePr>
  <w:endnotePr>
    <w:endnote w:id="-1"/>
    <w:endnote w:id="0"/>
  </w:endnotePr>
  <w:compat/>
  <w:rsids>
    <w:rsidRoot w:val="009F7FCE"/>
    <w:rsid w:val="000323ED"/>
    <w:rsid w:val="001054A0"/>
    <w:rsid w:val="001139CC"/>
    <w:rsid w:val="001A02F0"/>
    <w:rsid w:val="001A79E7"/>
    <w:rsid w:val="001C3FE1"/>
    <w:rsid w:val="001F5F22"/>
    <w:rsid w:val="00203F25"/>
    <w:rsid w:val="00226819"/>
    <w:rsid w:val="00240539"/>
    <w:rsid w:val="00273B40"/>
    <w:rsid w:val="00275170"/>
    <w:rsid w:val="002827AF"/>
    <w:rsid w:val="002B6258"/>
    <w:rsid w:val="002D48C5"/>
    <w:rsid w:val="00322441"/>
    <w:rsid w:val="00325182"/>
    <w:rsid w:val="0036121C"/>
    <w:rsid w:val="003923F0"/>
    <w:rsid w:val="003A4206"/>
    <w:rsid w:val="00422E0A"/>
    <w:rsid w:val="004337ED"/>
    <w:rsid w:val="00461D56"/>
    <w:rsid w:val="00482767"/>
    <w:rsid w:val="0052266E"/>
    <w:rsid w:val="00563808"/>
    <w:rsid w:val="005647EC"/>
    <w:rsid w:val="005A4F52"/>
    <w:rsid w:val="005F40F9"/>
    <w:rsid w:val="005F7132"/>
    <w:rsid w:val="00610566"/>
    <w:rsid w:val="00637FEF"/>
    <w:rsid w:val="006703C1"/>
    <w:rsid w:val="00684B52"/>
    <w:rsid w:val="006A2643"/>
    <w:rsid w:val="006E2EC2"/>
    <w:rsid w:val="007B6871"/>
    <w:rsid w:val="007C36EB"/>
    <w:rsid w:val="007E4C72"/>
    <w:rsid w:val="0087540F"/>
    <w:rsid w:val="008F2D4C"/>
    <w:rsid w:val="00915B64"/>
    <w:rsid w:val="00943A6D"/>
    <w:rsid w:val="00944DDE"/>
    <w:rsid w:val="009930E4"/>
    <w:rsid w:val="009B2539"/>
    <w:rsid w:val="009F7FCE"/>
    <w:rsid w:val="00A82A5B"/>
    <w:rsid w:val="00AF1CEE"/>
    <w:rsid w:val="00B0372C"/>
    <w:rsid w:val="00B23481"/>
    <w:rsid w:val="00B324AA"/>
    <w:rsid w:val="00B33824"/>
    <w:rsid w:val="00B473E5"/>
    <w:rsid w:val="00BC379D"/>
    <w:rsid w:val="00BC4000"/>
    <w:rsid w:val="00BE3D02"/>
    <w:rsid w:val="00C1285E"/>
    <w:rsid w:val="00C13601"/>
    <w:rsid w:val="00C3134E"/>
    <w:rsid w:val="00CB00B7"/>
    <w:rsid w:val="00DC2CA9"/>
    <w:rsid w:val="00DD4BA4"/>
    <w:rsid w:val="00DE4E34"/>
    <w:rsid w:val="00E507D1"/>
    <w:rsid w:val="00E603C7"/>
    <w:rsid w:val="00E95689"/>
    <w:rsid w:val="00EA5AC8"/>
    <w:rsid w:val="00ED3B63"/>
    <w:rsid w:val="00F07800"/>
    <w:rsid w:val="00F321B4"/>
    <w:rsid w:val="00F412B0"/>
    <w:rsid w:val="00F55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unhideWhenUsed="0"/>
    <w:lsdException w:name="table of authorities" w:unhideWhenUsed="0"/>
    <w:lsdException w:name="List" w:unhideWhenUsed="0"/>
    <w:lsdException w:name="List Bullet" w:unhideWhenUsed="0"/>
    <w:lsdException w:name="Title" w:semiHidden="0" w:unhideWhenUsed="0"/>
    <w:lsdException w:name="List Continue 2" w:unhideWhenUsed="0"/>
    <w:lsdException w:name="List Continue 3" w:unhideWhenUsed="0"/>
    <w:lsdException w:name="List Continue 4" w:unhideWhenUsed="0"/>
    <w:lsdException w:name="List Continue 5" w:unhideWhenUsed="0"/>
    <w:lsdException w:name="Subtitle" w:semiHidden="0" w:unhideWhenUsed="0"/>
    <w:lsdException w:name="Strong" w:semiHidden="0" w:unhideWhenUsed="0"/>
    <w:lsdException w:name="Emphasis" w:semiHidden="0" w:unhideWhenUsed="0"/>
    <w:lsdException w:name="Balloon Text" w:unhideWhenUsed="0"/>
    <w:lsdException w:name="Table Grid"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unhideWhenUsed="0"/>
    <w:lsdException w:name="Intense Reference" w:unhideWhenUsed="0"/>
    <w:lsdException w:name="Book Title" w:unhideWhenUsed="0"/>
    <w:lsdException w:name="Bibliography" w:unhideWhenUsed="0"/>
    <w:lsdException w:name="TOC Heading" w:unhideWhenUsed="0"/>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rsid w:val="00943A6D"/>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rsid w:val="00943A6D"/>
    <w:pPr>
      <w:keepNext/>
      <w:keepLines/>
      <w:suppressAutoHyphens/>
      <w:spacing w:before="360" w:after="160"/>
      <w:ind w:left="567" w:hanging="567"/>
      <w:jc w:val="left"/>
      <w:outlineLvl w:val="1"/>
    </w:pPr>
    <w:rPr>
      <w:b/>
    </w:rPr>
  </w:style>
  <w:style w:type="paragraph" w:styleId="Heading3">
    <w:name w:val="heading 3"/>
    <w:basedOn w:val="Normal"/>
    <w:next w:val="Normal"/>
    <w:qFormat/>
    <w:rsid w:val="00943A6D"/>
    <w:pPr>
      <w:spacing w:before="360"/>
      <w:ind w:firstLine="0"/>
      <w:outlineLvl w:val="2"/>
    </w:pPr>
  </w:style>
  <w:style w:type="paragraph" w:styleId="Heading4">
    <w:name w:val="heading 4"/>
    <w:basedOn w:val="Normal"/>
    <w:next w:val="Normal"/>
    <w:qFormat/>
    <w:rsid w:val="00943A6D"/>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943A6D"/>
    <w:pPr>
      <w:spacing w:before="600" w:after="360" w:line="220" w:lineRule="atLeast"/>
      <w:ind w:left="567" w:right="567"/>
      <w:contextualSpacing/>
    </w:pPr>
    <w:rPr>
      <w:sz w:val="18"/>
    </w:rPr>
  </w:style>
  <w:style w:type="paragraph" w:customStyle="1" w:styleId="address">
    <w:name w:val="address"/>
    <w:basedOn w:val="Normal"/>
    <w:rsid w:val="00943A6D"/>
    <w:pPr>
      <w:spacing w:after="200" w:line="220" w:lineRule="atLeast"/>
      <w:ind w:firstLine="0"/>
      <w:contextualSpacing/>
      <w:jc w:val="center"/>
    </w:pPr>
    <w:rPr>
      <w:sz w:val="18"/>
    </w:rPr>
  </w:style>
  <w:style w:type="numbering" w:customStyle="1" w:styleId="arabnumitem">
    <w:name w:val="arabnumitem"/>
    <w:basedOn w:val="NoList"/>
    <w:rsid w:val="00943A6D"/>
    <w:pPr>
      <w:numPr>
        <w:numId w:val="5"/>
      </w:numPr>
    </w:pPr>
  </w:style>
  <w:style w:type="paragraph" w:customStyle="1" w:styleId="author">
    <w:name w:val="author"/>
    <w:basedOn w:val="Normal"/>
    <w:next w:val="address"/>
    <w:rsid w:val="00943A6D"/>
    <w:pPr>
      <w:spacing w:after="200" w:line="220" w:lineRule="atLeast"/>
      <w:ind w:firstLine="0"/>
      <w:jc w:val="center"/>
    </w:pPr>
  </w:style>
  <w:style w:type="paragraph" w:customStyle="1" w:styleId="bulletitem">
    <w:name w:val="bulletitem"/>
    <w:basedOn w:val="Normal"/>
    <w:rsid w:val="00943A6D"/>
    <w:pPr>
      <w:numPr>
        <w:numId w:val="2"/>
      </w:numPr>
      <w:spacing w:before="160" w:after="160"/>
      <w:contextualSpacing/>
    </w:pPr>
  </w:style>
  <w:style w:type="paragraph" w:customStyle="1" w:styleId="dashitem">
    <w:name w:val="dashitem"/>
    <w:basedOn w:val="Normal"/>
    <w:rsid w:val="00943A6D"/>
    <w:pPr>
      <w:numPr>
        <w:numId w:val="4"/>
      </w:numPr>
      <w:spacing w:before="160" w:after="160"/>
      <w:contextualSpacing/>
    </w:pPr>
  </w:style>
  <w:style w:type="character" w:customStyle="1" w:styleId="e-mail">
    <w:name w:val="e-mail"/>
    <w:basedOn w:val="DefaultParagraphFont"/>
    <w:rsid w:val="00943A6D"/>
    <w:rPr>
      <w:rFonts w:ascii="Courier" w:hAnsi="Courier"/>
      <w:noProof/>
    </w:rPr>
  </w:style>
  <w:style w:type="paragraph" w:customStyle="1" w:styleId="equation">
    <w:name w:val="equation"/>
    <w:basedOn w:val="Normal"/>
    <w:next w:val="Normal"/>
    <w:rsid w:val="00943A6D"/>
    <w:pPr>
      <w:tabs>
        <w:tab w:val="center" w:pos="3289"/>
        <w:tab w:val="right" w:pos="6917"/>
      </w:tabs>
      <w:spacing w:before="160" w:after="160"/>
      <w:ind w:firstLine="0"/>
    </w:pPr>
  </w:style>
  <w:style w:type="paragraph" w:customStyle="1" w:styleId="figurecaption">
    <w:name w:val="figurecaption"/>
    <w:basedOn w:val="Normal"/>
    <w:next w:val="Normal"/>
    <w:rsid w:val="00943A6D"/>
    <w:pPr>
      <w:keepLines/>
      <w:spacing w:before="120" w:after="240" w:line="220" w:lineRule="atLeast"/>
      <w:ind w:firstLine="0"/>
      <w:jc w:val="center"/>
    </w:pPr>
    <w:rPr>
      <w:sz w:val="18"/>
    </w:rPr>
  </w:style>
  <w:style w:type="character" w:styleId="FootnoteReference">
    <w:name w:val="footnote reference"/>
    <w:basedOn w:val="DefaultParagraphFont"/>
    <w:semiHidden/>
    <w:unhideWhenUsed/>
    <w:rsid w:val="00943A6D"/>
    <w:rPr>
      <w:position w:val="0"/>
      <w:vertAlign w:val="superscript"/>
    </w:rPr>
  </w:style>
  <w:style w:type="paragraph" w:styleId="Footer">
    <w:name w:val="footer"/>
    <w:basedOn w:val="Normal"/>
    <w:semiHidden/>
    <w:unhideWhenUsed/>
    <w:rsid w:val="00943A6D"/>
  </w:style>
  <w:style w:type="paragraph" w:customStyle="1" w:styleId="heading1">
    <w:name w:val="heading1"/>
    <w:basedOn w:val="Normal"/>
    <w:next w:val="p1a"/>
    <w:qFormat/>
    <w:rsid w:val="00943A6D"/>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rsid w:val="00943A6D"/>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sid w:val="00943A6D"/>
    <w:rPr>
      <w:b/>
    </w:rPr>
  </w:style>
  <w:style w:type="character" w:customStyle="1" w:styleId="heading40">
    <w:name w:val="heading4"/>
    <w:basedOn w:val="DefaultParagraphFont"/>
    <w:rsid w:val="00943A6D"/>
    <w:rPr>
      <w:i/>
    </w:rPr>
  </w:style>
  <w:style w:type="numbering" w:customStyle="1" w:styleId="headings">
    <w:name w:val="headings"/>
    <w:basedOn w:val="arabnumitem"/>
    <w:rsid w:val="00943A6D"/>
    <w:pPr>
      <w:numPr>
        <w:numId w:val="7"/>
      </w:numPr>
    </w:pPr>
  </w:style>
  <w:style w:type="character" w:styleId="Hyperlink">
    <w:name w:val="Hyperlink"/>
    <w:basedOn w:val="DefaultParagraphFont"/>
    <w:unhideWhenUsed/>
    <w:rsid w:val="00943A6D"/>
    <w:rPr>
      <w:color w:val="auto"/>
      <w:u w:val="none"/>
    </w:rPr>
  </w:style>
  <w:style w:type="paragraph" w:customStyle="1" w:styleId="image">
    <w:name w:val="image"/>
    <w:basedOn w:val="Normal"/>
    <w:next w:val="Normal"/>
    <w:rsid w:val="00943A6D"/>
    <w:pPr>
      <w:spacing w:before="240" w:after="120"/>
      <w:ind w:firstLine="0"/>
      <w:jc w:val="center"/>
    </w:pPr>
  </w:style>
  <w:style w:type="numbering" w:customStyle="1" w:styleId="itemization1">
    <w:name w:val="itemization1"/>
    <w:basedOn w:val="NoList"/>
    <w:rsid w:val="00943A6D"/>
    <w:pPr>
      <w:numPr>
        <w:numId w:val="1"/>
      </w:numPr>
    </w:pPr>
  </w:style>
  <w:style w:type="numbering" w:customStyle="1" w:styleId="itemization2">
    <w:name w:val="itemization2"/>
    <w:basedOn w:val="NoList"/>
    <w:rsid w:val="00943A6D"/>
    <w:pPr>
      <w:numPr>
        <w:numId w:val="3"/>
      </w:numPr>
    </w:pPr>
  </w:style>
  <w:style w:type="paragraph" w:customStyle="1" w:styleId="keywords">
    <w:name w:val="keywords"/>
    <w:basedOn w:val="abstract"/>
    <w:next w:val="heading1"/>
    <w:rsid w:val="00943A6D"/>
    <w:pPr>
      <w:spacing w:before="220"/>
      <w:ind w:firstLine="0"/>
      <w:contextualSpacing w:val="0"/>
      <w:jc w:val="left"/>
    </w:pPr>
  </w:style>
  <w:style w:type="paragraph" w:styleId="Header">
    <w:name w:val="header"/>
    <w:basedOn w:val="Normal"/>
    <w:semiHidden/>
    <w:unhideWhenUsed/>
    <w:rsid w:val="00943A6D"/>
    <w:pPr>
      <w:tabs>
        <w:tab w:val="center" w:pos="4536"/>
        <w:tab w:val="right" w:pos="9072"/>
      </w:tabs>
      <w:ind w:firstLine="0"/>
    </w:pPr>
    <w:rPr>
      <w:sz w:val="18"/>
      <w:szCs w:val="18"/>
    </w:rPr>
  </w:style>
  <w:style w:type="paragraph" w:customStyle="1" w:styleId="numitem">
    <w:name w:val="numitem"/>
    <w:basedOn w:val="Normal"/>
    <w:rsid w:val="00943A6D"/>
    <w:pPr>
      <w:numPr>
        <w:numId w:val="6"/>
      </w:numPr>
      <w:spacing w:before="160" w:after="160"/>
      <w:contextualSpacing/>
    </w:pPr>
  </w:style>
  <w:style w:type="paragraph" w:customStyle="1" w:styleId="p1a">
    <w:name w:val="p1a"/>
    <w:basedOn w:val="Normal"/>
    <w:next w:val="Normal"/>
    <w:rsid w:val="00943A6D"/>
    <w:pPr>
      <w:ind w:firstLine="0"/>
    </w:pPr>
  </w:style>
  <w:style w:type="paragraph" w:customStyle="1" w:styleId="programcode">
    <w:name w:val="programcode"/>
    <w:basedOn w:val="Normal"/>
    <w:rsid w:val="00943A6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DD4BA4"/>
    <w:pPr>
      <w:numPr>
        <w:numId w:val="9"/>
      </w:numPr>
      <w:spacing w:line="220" w:lineRule="atLeast"/>
    </w:pPr>
    <w:rPr>
      <w:sz w:val="18"/>
    </w:rPr>
  </w:style>
  <w:style w:type="numbering" w:customStyle="1" w:styleId="referencelist">
    <w:name w:val="referencelist"/>
    <w:basedOn w:val="NoList"/>
    <w:semiHidden/>
    <w:rsid w:val="00943A6D"/>
    <w:pPr>
      <w:numPr>
        <w:numId w:val="8"/>
      </w:numPr>
    </w:pPr>
  </w:style>
  <w:style w:type="paragraph" w:customStyle="1" w:styleId="runninghead-left">
    <w:name w:val="running head - left"/>
    <w:basedOn w:val="Normal"/>
    <w:rsid w:val="00943A6D"/>
    <w:pPr>
      <w:ind w:firstLine="0"/>
      <w:jc w:val="left"/>
    </w:pPr>
    <w:rPr>
      <w:sz w:val="18"/>
      <w:szCs w:val="18"/>
    </w:rPr>
  </w:style>
  <w:style w:type="paragraph" w:customStyle="1" w:styleId="runninghead-right">
    <w:name w:val="running head - right"/>
    <w:basedOn w:val="Normal"/>
    <w:rsid w:val="00943A6D"/>
    <w:pPr>
      <w:ind w:firstLine="0"/>
      <w:jc w:val="right"/>
    </w:pPr>
    <w:rPr>
      <w:bCs/>
      <w:sz w:val="18"/>
      <w:szCs w:val="18"/>
    </w:rPr>
  </w:style>
  <w:style w:type="character" w:styleId="PageNumber">
    <w:name w:val="page number"/>
    <w:basedOn w:val="DefaultParagraphFont"/>
    <w:semiHidden/>
    <w:unhideWhenUsed/>
    <w:rsid w:val="00943A6D"/>
    <w:rPr>
      <w:sz w:val="18"/>
    </w:rPr>
  </w:style>
  <w:style w:type="paragraph" w:customStyle="1" w:styleId="papertitle">
    <w:name w:val="papertitle"/>
    <w:basedOn w:val="Normal"/>
    <w:next w:val="author"/>
    <w:rsid w:val="00943A6D"/>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943A6D"/>
    <w:pPr>
      <w:spacing w:before="120" w:line="280" w:lineRule="atLeast"/>
    </w:pPr>
    <w:rPr>
      <w:sz w:val="24"/>
    </w:rPr>
  </w:style>
  <w:style w:type="paragraph" w:customStyle="1" w:styleId="tablecaption">
    <w:name w:val="tablecaption"/>
    <w:basedOn w:val="Normal"/>
    <w:next w:val="Normal"/>
    <w:rsid w:val="00943A6D"/>
    <w:pPr>
      <w:keepNext/>
      <w:keepLines/>
      <w:spacing w:before="240" w:after="120" w:line="220" w:lineRule="atLeast"/>
      <w:ind w:firstLine="0"/>
      <w:jc w:val="center"/>
    </w:pPr>
    <w:rPr>
      <w:sz w:val="18"/>
    </w:rPr>
  </w:style>
  <w:style w:type="character" w:customStyle="1" w:styleId="url">
    <w:name w:val="url"/>
    <w:basedOn w:val="DefaultParagraphFont"/>
    <w:rsid w:val="00943A6D"/>
    <w:rPr>
      <w:rFonts w:ascii="Courier" w:hAnsi="Courier"/>
      <w:noProof/>
    </w:rPr>
  </w:style>
  <w:style w:type="character" w:customStyle="1" w:styleId="ORCID">
    <w:name w:val="ORCID"/>
    <w:basedOn w:val="DefaultParagraphFont"/>
    <w:rsid w:val="00943A6D"/>
    <w:rPr>
      <w:position w:val="0"/>
      <w:vertAlign w:val="superscript"/>
    </w:rPr>
  </w:style>
  <w:style w:type="paragraph" w:styleId="FootnoteText">
    <w:name w:val="footnote text"/>
    <w:basedOn w:val="Normal"/>
    <w:semiHidden/>
    <w:rsid w:val="00943A6D"/>
    <w:pPr>
      <w:spacing w:line="220" w:lineRule="atLeast"/>
      <w:ind w:left="227" w:hanging="227"/>
    </w:pPr>
    <w:rPr>
      <w:sz w:val="18"/>
    </w:rPr>
  </w:style>
  <w:style w:type="paragraph" w:customStyle="1" w:styleId="ReferenceLine">
    <w:name w:val="ReferenceLine"/>
    <w:basedOn w:val="p1a"/>
    <w:semiHidden/>
    <w:unhideWhenUsed/>
    <w:rsid w:val="00943A6D"/>
    <w:pPr>
      <w:spacing w:line="200" w:lineRule="exact"/>
    </w:pPr>
    <w:rPr>
      <w:sz w:val="16"/>
    </w:rPr>
  </w:style>
  <w:style w:type="table" w:customStyle="1" w:styleId="TableGrid1">
    <w:name w:val="Table Grid1"/>
    <w:basedOn w:val="TableNormal"/>
    <w:next w:val="TableGrid"/>
    <w:uiPriority w:val="59"/>
    <w:rsid w:val="00482767"/>
    <w:pPr>
      <w:spacing w:line="240" w:lineRule="auto"/>
    </w:pPr>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48276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E507D1"/>
    <w:pPr>
      <w:ind w:left="720"/>
      <w:contextualSpacing/>
    </w:pPr>
  </w:style>
  <w:style w:type="character" w:styleId="FollowedHyperlink">
    <w:name w:val="FollowedHyperlink"/>
    <w:basedOn w:val="DefaultParagraphFont"/>
    <w:semiHidden/>
    <w:unhideWhenUsed/>
    <w:rsid w:val="004337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8936614">
      <w:bodyDiv w:val="1"/>
      <w:marLeft w:val="0"/>
      <w:marRight w:val="0"/>
      <w:marTop w:val="0"/>
      <w:marBottom w:val="0"/>
      <w:divBdr>
        <w:top w:val="none" w:sz="0" w:space="0" w:color="auto"/>
        <w:left w:val="none" w:sz="0" w:space="0" w:color="auto"/>
        <w:bottom w:val="none" w:sz="0" w:space="0" w:color="auto"/>
        <w:right w:val="none" w:sz="0" w:space="0" w:color="auto"/>
      </w:divBdr>
      <w:divsChild>
        <w:div w:id="1553479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onstor.eu/handle/10419/277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1</TotalTime>
  <Pages>10</Pages>
  <Words>4442</Words>
  <Characters>25325</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2</cp:revision>
  <cp:lastPrinted>2023-02-07T10:10:00Z</cp:lastPrinted>
  <dcterms:created xsi:type="dcterms:W3CDTF">2023-06-24T16:12:00Z</dcterms:created>
  <dcterms:modified xsi:type="dcterms:W3CDTF">2023-06-24T16:12:00Z</dcterms:modified>
</cp:coreProperties>
</file>