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27" w:rsidRPr="0024307C" w:rsidRDefault="00B31827" w:rsidP="00763B50">
      <w:pPr>
        <w:spacing w:after="0" w:line="240" w:lineRule="auto"/>
        <w:ind w:firstLine="0"/>
        <w:rPr>
          <w:rFonts w:asciiTheme="majorBidi" w:eastAsiaTheme="minorHAnsi" w:hAnsiTheme="majorBidi" w:cstheme="majorBidi"/>
          <w:b/>
          <w:bCs/>
        </w:rPr>
      </w:pPr>
      <w:bookmarkStart w:id="0" w:name="_GoBack"/>
      <w:bookmarkEnd w:id="0"/>
      <w:r w:rsidRPr="0024307C">
        <w:rPr>
          <w:rFonts w:asciiTheme="majorBidi" w:eastAsiaTheme="minorHAnsi" w:hAnsiTheme="majorBidi" w:cstheme="majorBidi"/>
          <w:b/>
          <w:bCs/>
        </w:rPr>
        <w:t xml:space="preserve">Factors Related </w:t>
      </w:r>
      <w:r>
        <w:rPr>
          <w:rFonts w:asciiTheme="majorBidi" w:eastAsiaTheme="minorHAnsi" w:hAnsiTheme="majorBidi" w:cstheme="majorBidi"/>
          <w:b/>
          <w:bCs/>
        </w:rPr>
        <w:t>t</w:t>
      </w:r>
      <w:r w:rsidRPr="0024307C">
        <w:rPr>
          <w:rFonts w:asciiTheme="majorBidi" w:eastAsiaTheme="minorHAnsi" w:hAnsiTheme="majorBidi" w:cstheme="majorBidi"/>
          <w:b/>
          <w:bCs/>
        </w:rPr>
        <w:t xml:space="preserve">o Medication Adherence </w:t>
      </w:r>
      <w:r>
        <w:rPr>
          <w:rFonts w:asciiTheme="majorBidi" w:eastAsiaTheme="minorHAnsi" w:hAnsiTheme="majorBidi" w:cstheme="majorBidi"/>
          <w:b/>
          <w:bCs/>
        </w:rPr>
        <w:t>a</w:t>
      </w:r>
      <w:r w:rsidRPr="0024307C">
        <w:rPr>
          <w:rFonts w:asciiTheme="majorBidi" w:eastAsiaTheme="minorHAnsi" w:hAnsiTheme="majorBidi" w:cstheme="majorBidi"/>
          <w:b/>
          <w:bCs/>
        </w:rPr>
        <w:t xml:space="preserve">mong Patients </w:t>
      </w:r>
      <w:r>
        <w:rPr>
          <w:rFonts w:asciiTheme="majorBidi" w:eastAsiaTheme="minorHAnsi" w:hAnsiTheme="majorBidi" w:cstheme="majorBidi"/>
          <w:b/>
          <w:bCs/>
        </w:rPr>
        <w:t>w</w:t>
      </w:r>
      <w:r w:rsidRPr="0024307C">
        <w:rPr>
          <w:rFonts w:asciiTheme="majorBidi" w:eastAsiaTheme="minorHAnsi" w:hAnsiTheme="majorBidi" w:cstheme="majorBidi"/>
          <w:b/>
          <w:bCs/>
        </w:rPr>
        <w:t xml:space="preserve">ith Type </w:t>
      </w:r>
      <w:r w:rsidR="00045BDA">
        <w:rPr>
          <w:rFonts w:asciiTheme="majorBidi" w:eastAsiaTheme="minorHAnsi" w:hAnsiTheme="majorBidi" w:cstheme="majorBidi"/>
          <w:b/>
          <w:bCs/>
        </w:rPr>
        <w:t>2</w:t>
      </w:r>
      <w:r w:rsidRPr="0024307C">
        <w:rPr>
          <w:rFonts w:asciiTheme="majorBidi" w:eastAsiaTheme="minorHAnsi" w:hAnsiTheme="majorBidi" w:cstheme="majorBidi"/>
          <w:b/>
          <w:bCs/>
        </w:rPr>
        <w:t xml:space="preserve"> Diabetes </w:t>
      </w:r>
      <w:r>
        <w:rPr>
          <w:rFonts w:asciiTheme="majorBidi" w:eastAsiaTheme="minorHAnsi" w:hAnsiTheme="majorBidi" w:cstheme="majorBidi"/>
          <w:b/>
          <w:bCs/>
        </w:rPr>
        <w:t>i</w:t>
      </w:r>
      <w:r w:rsidRPr="0024307C">
        <w:rPr>
          <w:rFonts w:asciiTheme="majorBidi" w:eastAsiaTheme="minorHAnsi" w:hAnsiTheme="majorBidi" w:cstheme="majorBidi"/>
          <w:b/>
          <w:bCs/>
        </w:rPr>
        <w:t>n Palestine</w:t>
      </w:r>
    </w:p>
    <w:p w:rsidR="00B31827" w:rsidRDefault="00B31827" w:rsidP="00763B50">
      <w:pPr>
        <w:spacing w:after="0" w:line="240" w:lineRule="auto"/>
        <w:ind w:firstLine="0"/>
        <w:rPr>
          <w:b/>
          <w:szCs w:val="20"/>
        </w:rPr>
      </w:pPr>
    </w:p>
    <w:p w:rsidR="00B31827" w:rsidRDefault="00B31827" w:rsidP="00763B50">
      <w:pPr>
        <w:spacing w:after="0" w:line="240" w:lineRule="auto"/>
        <w:ind w:firstLine="0"/>
        <w:rPr>
          <w:b/>
          <w:bCs/>
          <w:lang w:val="en-GB"/>
        </w:rPr>
      </w:pPr>
      <w:r>
        <w:rPr>
          <w:lang w:val="en-GB"/>
        </w:rPr>
        <w:t>Original Article</w:t>
      </w:r>
    </w:p>
    <w:p w:rsidR="00B31827" w:rsidRDefault="00B31827" w:rsidP="00763B50">
      <w:pPr>
        <w:spacing w:after="0" w:line="240" w:lineRule="auto"/>
        <w:ind w:firstLine="0"/>
        <w:rPr>
          <w:lang w:val="en-GB"/>
        </w:rPr>
      </w:pPr>
      <w:r>
        <w:rPr>
          <w:lang w:val="en-GB"/>
        </w:rPr>
        <w:t>Running Head: Factors related to medication adherence</w:t>
      </w:r>
    </w:p>
    <w:p w:rsidR="00B31827" w:rsidRDefault="00B31827" w:rsidP="00763B50">
      <w:pPr>
        <w:spacing w:after="0" w:line="240" w:lineRule="auto"/>
        <w:ind w:firstLine="0"/>
        <w:rPr>
          <w:rFonts w:eastAsia="Times New Roman"/>
          <w:b/>
          <w:bCs/>
          <w:lang w:val="en-GB"/>
        </w:rPr>
      </w:pPr>
    </w:p>
    <w:p w:rsidR="00B31827" w:rsidRDefault="00B31827" w:rsidP="00763B50">
      <w:pPr>
        <w:spacing w:after="0" w:line="240" w:lineRule="auto"/>
        <w:ind w:firstLine="0"/>
        <w:rPr>
          <w:rFonts w:eastAsia="Times New Roman"/>
          <w:b/>
          <w:bCs/>
          <w:lang w:val="en-GB"/>
        </w:rPr>
      </w:pPr>
      <w:r>
        <w:rPr>
          <w:rFonts w:eastAsia="Times New Roman"/>
          <w:b/>
          <w:bCs/>
          <w:lang w:val="en-GB"/>
        </w:rPr>
        <w:t>AUTHORS</w:t>
      </w:r>
    </w:p>
    <w:p w:rsidR="00B31827" w:rsidRDefault="00B31827" w:rsidP="00763B50">
      <w:pPr>
        <w:spacing w:after="0" w:line="240" w:lineRule="auto"/>
        <w:ind w:firstLine="0"/>
        <w:rPr>
          <w:rFonts w:asciiTheme="majorBidi" w:eastAsia="Times New Roman" w:hAnsiTheme="majorBidi" w:cstheme="majorBidi"/>
          <w:vertAlign w:val="superscript"/>
          <w:lang w:val="en-GB"/>
        </w:rPr>
      </w:pPr>
      <w:r w:rsidRPr="0040092A">
        <w:rPr>
          <w:rFonts w:asciiTheme="majorBidi" w:eastAsia="Times New Roman" w:hAnsiTheme="majorBidi" w:cstheme="majorBidi"/>
          <w:lang w:val="en-GB"/>
        </w:rPr>
        <w:t xml:space="preserve">Rami S Mosleh¹*, </w:t>
      </w:r>
      <w:proofErr w:type="spellStart"/>
      <w:r w:rsidRPr="0040092A">
        <w:rPr>
          <w:rFonts w:asciiTheme="majorBidi" w:eastAsia="Times New Roman" w:hAnsiTheme="majorBidi" w:cstheme="majorBidi"/>
          <w:lang w:val="en-GB"/>
        </w:rPr>
        <w:t>Noorizan</w:t>
      </w:r>
      <w:proofErr w:type="spellEnd"/>
      <w:r w:rsidRPr="0040092A">
        <w:rPr>
          <w:rFonts w:asciiTheme="majorBidi" w:eastAsia="Times New Roman" w:hAnsiTheme="majorBidi" w:cstheme="majorBidi"/>
          <w:lang w:val="en-GB"/>
        </w:rPr>
        <w:t xml:space="preserve"> </w:t>
      </w:r>
      <w:proofErr w:type="spellStart"/>
      <w:r w:rsidRPr="0040092A">
        <w:rPr>
          <w:rFonts w:asciiTheme="majorBidi" w:eastAsia="Times New Roman" w:hAnsiTheme="majorBidi" w:cstheme="majorBidi"/>
          <w:lang w:val="en-GB"/>
        </w:rPr>
        <w:t>Abd</w:t>
      </w:r>
      <w:proofErr w:type="spellEnd"/>
      <w:r w:rsidRPr="0040092A">
        <w:rPr>
          <w:rFonts w:asciiTheme="majorBidi" w:eastAsia="Times New Roman" w:hAnsiTheme="majorBidi" w:cstheme="majorBidi"/>
          <w:lang w:val="en-GB"/>
        </w:rPr>
        <w:t xml:space="preserve"> Aziz¹, </w:t>
      </w:r>
      <w:proofErr w:type="spellStart"/>
      <w:r w:rsidRPr="0040092A">
        <w:rPr>
          <w:rFonts w:asciiTheme="majorBidi" w:eastAsia="Times New Roman" w:hAnsiTheme="majorBidi" w:cstheme="majorBidi"/>
          <w:lang w:val="en-GB"/>
        </w:rPr>
        <w:t>Salmiah</w:t>
      </w:r>
      <w:proofErr w:type="spellEnd"/>
      <w:r w:rsidRPr="0040092A">
        <w:rPr>
          <w:rFonts w:asciiTheme="majorBidi" w:eastAsia="Times New Roman" w:hAnsiTheme="majorBidi" w:cstheme="majorBidi"/>
          <w:lang w:val="en-GB"/>
        </w:rPr>
        <w:t xml:space="preserve"> </w:t>
      </w:r>
      <w:proofErr w:type="spellStart"/>
      <w:r w:rsidRPr="0040092A">
        <w:rPr>
          <w:rFonts w:asciiTheme="majorBidi" w:eastAsia="Times New Roman" w:hAnsiTheme="majorBidi" w:cstheme="majorBidi"/>
          <w:lang w:val="en-GB"/>
        </w:rPr>
        <w:t>Moh’d</w:t>
      </w:r>
      <w:proofErr w:type="spellEnd"/>
      <w:r w:rsidRPr="0040092A">
        <w:rPr>
          <w:rFonts w:asciiTheme="majorBidi" w:eastAsia="Times New Roman" w:hAnsiTheme="majorBidi" w:cstheme="majorBidi"/>
          <w:lang w:val="en-GB"/>
        </w:rPr>
        <w:t xml:space="preserve"> Ali², Mohamed </w:t>
      </w:r>
      <w:proofErr w:type="spellStart"/>
      <w:r w:rsidRPr="0040092A">
        <w:rPr>
          <w:rFonts w:asciiTheme="majorBidi" w:eastAsia="Times New Roman" w:hAnsiTheme="majorBidi" w:cstheme="majorBidi"/>
          <w:lang w:val="en-GB"/>
        </w:rPr>
        <w:t>Mansor</w:t>
      </w:r>
      <w:proofErr w:type="spellEnd"/>
      <w:r w:rsidRPr="0040092A">
        <w:rPr>
          <w:rFonts w:asciiTheme="majorBidi" w:eastAsia="Times New Roman" w:hAnsiTheme="majorBidi" w:cstheme="majorBidi"/>
          <w:lang w:val="en-GB"/>
        </w:rPr>
        <w:t xml:space="preserve"> Manan³, </w:t>
      </w:r>
      <w:proofErr w:type="spellStart"/>
      <w:r w:rsidRPr="0040092A">
        <w:rPr>
          <w:rFonts w:asciiTheme="majorBidi" w:eastAsia="Times New Roman" w:hAnsiTheme="majorBidi" w:cstheme="majorBidi"/>
          <w:lang w:val="en-GB"/>
        </w:rPr>
        <w:t>Sa’ed</w:t>
      </w:r>
      <w:proofErr w:type="spellEnd"/>
      <w:r w:rsidRPr="0040092A">
        <w:rPr>
          <w:rFonts w:asciiTheme="majorBidi" w:eastAsia="Times New Roman" w:hAnsiTheme="majorBidi" w:cstheme="majorBidi"/>
          <w:lang w:val="en-GB"/>
        </w:rPr>
        <w:t xml:space="preserve"> H  </w:t>
      </w:r>
      <w:proofErr w:type="spellStart"/>
      <w:r w:rsidRPr="0040092A">
        <w:rPr>
          <w:rFonts w:asciiTheme="majorBidi" w:eastAsia="Times New Roman" w:hAnsiTheme="majorBidi" w:cstheme="majorBidi"/>
          <w:lang w:val="en-GB"/>
        </w:rPr>
        <w:t>Zyoud</w:t>
      </w:r>
      <w:proofErr w:type="spellEnd"/>
      <w:r w:rsidRPr="00217799">
        <w:rPr>
          <w:rFonts w:asciiTheme="majorBidi" w:eastAsia="Times New Roman" w:hAnsiTheme="majorBidi" w:cstheme="majorBidi"/>
          <w:vertAlign w:val="superscript"/>
          <w:lang w:val="en-MY"/>
        </w:rPr>
        <w:t>4</w:t>
      </w:r>
    </w:p>
    <w:p w:rsidR="00B31827" w:rsidRPr="004F4766" w:rsidRDefault="00B31827" w:rsidP="00763B50">
      <w:pPr>
        <w:spacing w:after="0" w:line="240" w:lineRule="auto"/>
        <w:ind w:firstLine="0"/>
        <w:rPr>
          <w:rFonts w:asciiTheme="majorBidi" w:eastAsia="Times New Roman" w:hAnsiTheme="majorBidi" w:cstheme="majorBidi"/>
          <w:lang w:val="en-GB"/>
        </w:rPr>
      </w:pPr>
    </w:p>
    <w:p w:rsidR="00B31827" w:rsidRPr="00D768C2" w:rsidRDefault="00B31827" w:rsidP="00763B50">
      <w:pPr>
        <w:spacing w:after="0" w:line="240" w:lineRule="auto"/>
        <w:ind w:firstLine="0"/>
        <w:rPr>
          <w:rFonts w:eastAsia="Times New Roman"/>
          <w:lang w:val="en-GB"/>
        </w:rPr>
      </w:pPr>
      <w:r w:rsidRPr="00D768C2">
        <w:rPr>
          <w:rFonts w:eastAsia="Times New Roman"/>
          <w:lang w:val="en-GB"/>
        </w:rPr>
        <w:t xml:space="preserve">¹Faculty of Pharmacy, Department of Pharmacy Practice, </w:t>
      </w:r>
      <w:proofErr w:type="spellStart"/>
      <w:r w:rsidRPr="00D768C2">
        <w:rPr>
          <w:rFonts w:eastAsia="Times New Roman"/>
          <w:lang w:val="en-GB"/>
        </w:rPr>
        <w:t>Universiti</w:t>
      </w:r>
      <w:proofErr w:type="spellEnd"/>
      <w:r w:rsidRPr="00D768C2">
        <w:rPr>
          <w:rFonts w:eastAsia="Times New Roman"/>
          <w:lang w:val="en-GB"/>
        </w:rPr>
        <w:t xml:space="preserve"> </w:t>
      </w:r>
      <w:proofErr w:type="spellStart"/>
      <w:r w:rsidRPr="00D768C2">
        <w:rPr>
          <w:rFonts w:eastAsia="Times New Roman"/>
          <w:lang w:val="en-GB"/>
        </w:rPr>
        <w:t>Teknologi</w:t>
      </w:r>
      <w:proofErr w:type="spellEnd"/>
      <w:r w:rsidRPr="00D768C2">
        <w:rPr>
          <w:rFonts w:eastAsia="Times New Roman"/>
          <w:lang w:val="en-GB"/>
        </w:rPr>
        <w:t xml:space="preserve"> MARA (</w:t>
      </w:r>
      <w:proofErr w:type="spellStart"/>
      <w:r w:rsidRPr="00D768C2">
        <w:rPr>
          <w:rFonts w:eastAsia="Times New Roman"/>
          <w:lang w:val="en-GB"/>
        </w:rPr>
        <w:t>UiTM</w:t>
      </w:r>
      <w:proofErr w:type="spellEnd"/>
      <w:r w:rsidRPr="00D768C2">
        <w:rPr>
          <w:rFonts w:eastAsia="Times New Roman"/>
          <w:lang w:val="en-GB"/>
        </w:rPr>
        <w:t>), Malaysia</w:t>
      </w:r>
      <w:r>
        <w:rPr>
          <w:rFonts w:eastAsia="Times New Roman"/>
          <w:lang w:val="en-GB"/>
        </w:rPr>
        <w:t>.</w:t>
      </w:r>
    </w:p>
    <w:p w:rsidR="00B31827" w:rsidRPr="00D768C2" w:rsidRDefault="00B31827" w:rsidP="00763B50">
      <w:pPr>
        <w:spacing w:after="0" w:line="240" w:lineRule="auto"/>
        <w:ind w:firstLine="0"/>
        <w:rPr>
          <w:rFonts w:eastAsia="Times New Roman"/>
          <w:lang w:val="en-GB"/>
        </w:rPr>
      </w:pPr>
      <w:r w:rsidRPr="00D768C2">
        <w:rPr>
          <w:rFonts w:eastAsia="Times New Roman"/>
          <w:lang w:val="en-GB"/>
        </w:rPr>
        <w:t>²Faculty of Pharmacy, Department of Pharmacy Practice, Asia Metropolitan University, Malaysia</w:t>
      </w:r>
      <w:r>
        <w:rPr>
          <w:rFonts w:eastAsia="Times New Roman"/>
          <w:lang w:val="en-GB"/>
        </w:rPr>
        <w:t>.</w:t>
      </w:r>
    </w:p>
    <w:p w:rsidR="00B31827" w:rsidRPr="00D768C2" w:rsidRDefault="00B31827" w:rsidP="00763B50">
      <w:pPr>
        <w:spacing w:after="0" w:line="240" w:lineRule="auto"/>
        <w:ind w:firstLine="0"/>
        <w:rPr>
          <w:rFonts w:eastAsia="Times New Roman"/>
          <w:lang w:val="en-GB"/>
        </w:rPr>
      </w:pPr>
      <w:r w:rsidRPr="00D768C2">
        <w:rPr>
          <w:rFonts w:eastAsia="Times New Roman"/>
          <w:lang w:val="en-GB"/>
        </w:rPr>
        <w:t>³School of Pharmacy, KPJ University College, Malaysia</w:t>
      </w:r>
      <w:r>
        <w:rPr>
          <w:rFonts w:eastAsia="Times New Roman"/>
          <w:lang w:val="en-GB"/>
        </w:rPr>
        <w:t>.</w:t>
      </w:r>
    </w:p>
    <w:p w:rsidR="00B31827" w:rsidRDefault="00B31827" w:rsidP="00763B50">
      <w:pPr>
        <w:spacing w:after="0" w:line="240" w:lineRule="auto"/>
        <w:ind w:firstLine="0"/>
        <w:rPr>
          <w:rFonts w:eastAsia="Times New Roman"/>
          <w:bCs/>
          <w:lang w:val="en-GB"/>
        </w:rPr>
      </w:pPr>
      <w:r w:rsidRPr="00217799">
        <w:rPr>
          <w:rFonts w:asciiTheme="majorBidi" w:eastAsia="Times New Roman" w:hAnsiTheme="majorBidi" w:cstheme="majorBidi"/>
          <w:vertAlign w:val="superscript"/>
          <w:lang w:val="en-MY"/>
        </w:rPr>
        <w:t>4</w:t>
      </w:r>
      <w:r w:rsidRPr="00D768C2">
        <w:rPr>
          <w:rFonts w:eastAsia="Times New Roman"/>
          <w:lang w:val="en-GB"/>
        </w:rPr>
        <w:t>School of Medicine and Health Sciences, Department of Pharmacy, An-</w:t>
      </w:r>
      <w:proofErr w:type="spellStart"/>
      <w:r w:rsidRPr="00D768C2">
        <w:rPr>
          <w:rFonts w:eastAsia="Times New Roman"/>
          <w:lang w:val="en-GB"/>
        </w:rPr>
        <w:t>Najah</w:t>
      </w:r>
      <w:proofErr w:type="spellEnd"/>
      <w:r w:rsidRPr="00D768C2">
        <w:rPr>
          <w:rFonts w:eastAsia="Times New Roman"/>
          <w:lang w:val="en-GB"/>
        </w:rPr>
        <w:t xml:space="preserve"> National University, Palestine</w:t>
      </w:r>
      <w:r>
        <w:rPr>
          <w:rFonts w:eastAsia="Times New Roman"/>
          <w:lang w:val="en-GB"/>
        </w:rPr>
        <w:t>.</w:t>
      </w: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Default="00B31827" w:rsidP="00763B50">
      <w:pPr>
        <w:spacing w:after="0" w:line="240" w:lineRule="auto"/>
        <w:ind w:firstLine="0"/>
        <w:rPr>
          <w:rFonts w:eastAsia="Times New Roman"/>
          <w:bCs/>
          <w:lang w:val="en-GB"/>
        </w:rPr>
      </w:pPr>
    </w:p>
    <w:p w:rsidR="00B31827" w:rsidRPr="00763B50" w:rsidRDefault="00B31827" w:rsidP="00763B50">
      <w:pPr>
        <w:spacing w:after="0" w:line="240" w:lineRule="auto"/>
        <w:ind w:firstLine="0"/>
        <w:rPr>
          <w:rFonts w:eastAsia="Times New Roman"/>
          <w:lang w:val="en-GB"/>
        </w:rPr>
      </w:pPr>
    </w:p>
    <w:p w:rsidR="00B31827" w:rsidRPr="00EB1BA3" w:rsidRDefault="00B31827" w:rsidP="00763B50">
      <w:pPr>
        <w:spacing w:after="0" w:line="240" w:lineRule="auto"/>
        <w:ind w:firstLine="0"/>
        <w:rPr>
          <w:rFonts w:eastAsia="Times New Roman"/>
          <w:bCs/>
          <w:i/>
          <w:iCs/>
          <w:lang w:val="en-GB"/>
        </w:rPr>
      </w:pPr>
      <w:r>
        <w:rPr>
          <w:rFonts w:eastAsia="Times New Roman"/>
          <w:bCs/>
          <w:lang w:val="en-GB"/>
        </w:rPr>
        <w:t xml:space="preserve">* </w:t>
      </w:r>
      <w:r w:rsidRPr="00EB1BA3">
        <w:rPr>
          <w:rFonts w:eastAsia="Times New Roman"/>
          <w:bCs/>
          <w:i/>
          <w:iCs/>
          <w:lang w:val="en-GB"/>
        </w:rPr>
        <w:t>Corresponding Author</w:t>
      </w:r>
    </w:p>
    <w:p w:rsidR="00B31827" w:rsidRPr="00EB1BA3" w:rsidRDefault="00B31827" w:rsidP="00763B50">
      <w:pPr>
        <w:spacing w:after="0" w:line="240" w:lineRule="auto"/>
        <w:ind w:firstLine="0"/>
        <w:rPr>
          <w:rFonts w:eastAsia="Times New Roman"/>
          <w:bCs/>
          <w:i/>
          <w:iCs/>
          <w:lang w:val="en-GB"/>
        </w:rPr>
      </w:pPr>
      <w:r w:rsidRPr="00EB1BA3">
        <w:rPr>
          <w:rFonts w:eastAsia="Times New Roman"/>
          <w:bCs/>
          <w:i/>
          <w:iCs/>
          <w:lang w:val="en-GB"/>
        </w:rPr>
        <w:t xml:space="preserve">Rami Salem </w:t>
      </w:r>
      <w:proofErr w:type="spellStart"/>
      <w:r w:rsidRPr="00EB1BA3">
        <w:rPr>
          <w:rFonts w:eastAsia="Times New Roman"/>
          <w:bCs/>
          <w:i/>
          <w:iCs/>
          <w:lang w:val="en-GB"/>
        </w:rPr>
        <w:t>Abdelmajid</w:t>
      </w:r>
      <w:proofErr w:type="spellEnd"/>
      <w:r w:rsidRPr="00EB1BA3">
        <w:rPr>
          <w:rFonts w:eastAsia="Times New Roman"/>
          <w:bCs/>
          <w:i/>
          <w:iCs/>
          <w:lang w:val="en-GB"/>
        </w:rPr>
        <w:t xml:space="preserve"> </w:t>
      </w:r>
      <w:proofErr w:type="spellStart"/>
      <w:r w:rsidRPr="00EB1BA3">
        <w:rPr>
          <w:rFonts w:eastAsia="Times New Roman"/>
          <w:bCs/>
          <w:i/>
          <w:iCs/>
          <w:lang w:val="en-GB"/>
        </w:rPr>
        <w:t>Mosleh</w:t>
      </w:r>
      <w:proofErr w:type="spellEnd"/>
      <w:r w:rsidRPr="00EB1BA3">
        <w:rPr>
          <w:rFonts w:eastAsia="Times New Roman"/>
          <w:bCs/>
          <w:i/>
          <w:iCs/>
          <w:lang w:val="en-GB"/>
        </w:rPr>
        <w:t xml:space="preserve">, Department of Pharmacy Practice, </w:t>
      </w:r>
      <w:proofErr w:type="spellStart"/>
      <w:r w:rsidRPr="00EB1BA3">
        <w:rPr>
          <w:rFonts w:eastAsia="Times New Roman"/>
          <w:bCs/>
          <w:i/>
          <w:iCs/>
          <w:lang w:val="en-GB"/>
        </w:rPr>
        <w:t>Universiti</w:t>
      </w:r>
      <w:proofErr w:type="spellEnd"/>
      <w:r w:rsidRPr="00EB1BA3">
        <w:rPr>
          <w:rFonts w:eastAsia="Times New Roman"/>
          <w:bCs/>
          <w:i/>
          <w:iCs/>
          <w:lang w:val="en-GB"/>
        </w:rPr>
        <w:t xml:space="preserve"> </w:t>
      </w:r>
      <w:proofErr w:type="spellStart"/>
      <w:r w:rsidRPr="00EB1BA3">
        <w:rPr>
          <w:rFonts w:eastAsia="Times New Roman"/>
          <w:bCs/>
          <w:i/>
          <w:iCs/>
          <w:lang w:val="en-GB"/>
        </w:rPr>
        <w:t>Teknologi</w:t>
      </w:r>
      <w:proofErr w:type="spellEnd"/>
      <w:r w:rsidRPr="00EB1BA3">
        <w:rPr>
          <w:rFonts w:eastAsia="Times New Roman"/>
          <w:bCs/>
          <w:i/>
          <w:iCs/>
          <w:lang w:val="en-GB"/>
        </w:rPr>
        <w:t xml:space="preserve"> MARA (</w:t>
      </w:r>
      <w:proofErr w:type="spellStart"/>
      <w:r w:rsidRPr="00EB1BA3">
        <w:rPr>
          <w:rFonts w:eastAsia="Times New Roman"/>
          <w:bCs/>
          <w:i/>
          <w:iCs/>
          <w:lang w:val="en-GB"/>
        </w:rPr>
        <w:t>UiTM</w:t>
      </w:r>
      <w:proofErr w:type="spellEnd"/>
      <w:r w:rsidRPr="00EB1BA3">
        <w:rPr>
          <w:rFonts w:eastAsia="Times New Roman"/>
          <w:bCs/>
          <w:i/>
          <w:iCs/>
          <w:lang w:val="en-GB"/>
        </w:rPr>
        <w:t xml:space="preserve">), </w:t>
      </w:r>
      <w:proofErr w:type="spellStart"/>
      <w:r w:rsidRPr="00EB1BA3">
        <w:rPr>
          <w:rFonts w:eastAsia="Times New Roman"/>
          <w:bCs/>
          <w:i/>
          <w:iCs/>
          <w:lang w:val="en-GB"/>
        </w:rPr>
        <w:t>UiTM</w:t>
      </w:r>
      <w:proofErr w:type="spellEnd"/>
      <w:r w:rsidRPr="00EB1BA3">
        <w:rPr>
          <w:rFonts w:eastAsia="Times New Roman"/>
          <w:bCs/>
          <w:i/>
          <w:iCs/>
          <w:lang w:val="en-GB"/>
        </w:rPr>
        <w:t xml:space="preserve"> </w:t>
      </w:r>
      <w:proofErr w:type="spellStart"/>
      <w:r w:rsidRPr="00EB1BA3">
        <w:rPr>
          <w:rFonts w:eastAsia="Times New Roman"/>
          <w:bCs/>
          <w:i/>
          <w:iCs/>
          <w:lang w:val="en-GB"/>
        </w:rPr>
        <w:t>Puncak</w:t>
      </w:r>
      <w:proofErr w:type="spellEnd"/>
      <w:r w:rsidRPr="00EB1BA3">
        <w:rPr>
          <w:rFonts w:eastAsia="Times New Roman"/>
          <w:bCs/>
          <w:i/>
          <w:iCs/>
          <w:lang w:val="en-GB"/>
        </w:rPr>
        <w:t xml:space="preserve"> </w:t>
      </w:r>
      <w:proofErr w:type="spellStart"/>
      <w:r w:rsidRPr="00EB1BA3">
        <w:rPr>
          <w:rFonts w:eastAsia="Times New Roman"/>
          <w:bCs/>
          <w:i/>
          <w:iCs/>
          <w:lang w:val="en-GB"/>
        </w:rPr>
        <w:t>Alam</w:t>
      </w:r>
      <w:proofErr w:type="spellEnd"/>
      <w:r w:rsidRPr="00EB1BA3">
        <w:rPr>
          <w:rFonts w:eastAsia="Times New Roman"/>
          <w:bCs/>
          <w:i/>
          <w:iCs/>
          <w:lang w:val="en-GB"/>
        </w:rPr>
        <w:t xml:space="preserve">, 43600 Bandar </w:t>
      </w:r>
      <w:proofErr w:type="spellStart"/>
      <w:r w:rsidRPr="00EB1BA3">
        <w:rPr>
          <w:rFonts w:eastAsia="Times New Roman"/>
          <w:bCs/>
          <w:i/>
          <w:iCs/>
          <w:lang w:val="en-GB"/>
        </w:rPr>
        <w:t>Puncak</w:t>
      </w:r>
      <w:proofErr w:type="spellEnd"/>
      <w:r w:rsidRPr="00EB1BA3">
        <w:rPr>
          <w:rFonts w:eastAsia="Times New Roman"/>
          <w:bCs/>
          <w:i/>
          <w:iCs/>
          <w:lang w:val="en-GB"/>
        </w:rPr>
        <w:t xml:space="preserve"> </w:t>
      </w:r>
      <w:proofErr w:type="spellStart"/>
      <w:r w:rsidRPr="00EB1BA3">
        <w:rPr>
          <w:rFonts w:eastAsia="Times New Roman"/>
          <w:bCs/>
          <w:i/>
          <w:iCs/>
          <w:lang w:val="en-GB"/>
        </w:rPr>
        <w:t>Alam</w:t>
      </w:r>
      <w:proofErr w:type="spellEnd"/>
      <w:r w:rsidRPr="00EB1BA3">
        <w:rPr>
          <w:rFonts w:eastAsia="Times New Roman"/>
          <w:bCs/>
          <w:i/>
          <w:iCs/>
          <w:lang w:val="en-GB"/>
        </w:rPr>
        <w:t>, Selangor, Malaysia, Tel: +603–32584835, H/P: +60142696856, Fax: +603–32584602, E–mail address: rami_musleh123@hotmail.com.</w:t>
      </w:r>
    </w:p>
    <w:p w:rsidR="00B31827" w:rsidRDefault="00B31827" w:rsidP="00763B50">
      <w:pPr>
        <w:ind w:firstLine="0"/>
      </w:pPr>
    </w:p>
    <w:p w:rsidR="00B31827" w:rsidRPr="00016D83" w:rsidRDefault="00B31827" w:rsidP="00871412">
      <w:pPr>
        <w:spacing w:after="0" w:line="240" w:lineRule="auto"/>
        <w:ind w:firstLine="0"/>
        <w:rPr>
          <w:rFonts w:eastAsiaTheme="minorHAnsi"/>
          <w:b/>
          <w:bCs/>
          <w:szCs w:val="20"/>
        </w:rPr>
      </w:pPr>
      <w:r w:rsidRPr="00016D83">
        <w:rPr>
          <w:rFonts w:eastAsiaTheme="minorHAnsi"/>
          <w:b/>
          <w:bCs/>
          <w:szCs w:val="20"/>
        </w:rPr>
        <w:lastRenderedPageBreak/>
        <w:t>ABSTRACT</w:t>
      </w:r>
    </w:p>
    <w:p w:rsidR="00B31827" w:rsidRPr="00016D83" w:rsidRDefault="00B31827" w:rsidP="00871412">
      <w:pPr>
        <w:spacing w:after="0" w:line="240" w:lineRule="auto"/>
        <w:ind w:firstLine="0"/>
        <w:rPr>
          <w:rFonts w:asciiTheme="majorBidi" w:hAnsiTheme="majorBidi" w:cstheme="majorBidi"/>
          <w:b/>
        </w:rPr>
      </w:pPr>
    </w:p>
    <w:p w:rsidR="00B31827" w:rsidRPr="00A17AC0" w:rsidRDefault="00B31827" w:rsidP="00D16C30">
      <w:pPr>
        <w:spacing w:after="0" w:line="240" w:lineRule="auto"/>
        <w:ind w:firstLine="0"/>
      </w:pPr>
      <w:r w:rsidRPr="00BD58C0">
        <w:t>Th</w:t>
      </w:r>
      <w:r>
        <w:t>e purpose of this study is t</w:t>
      </w:r>
      <w:r w:rsidRPr="00BD58C0">
        <w:t>o</w:t>
      </w:r>
      <w:r w:rsidRPr="00016D83">
        <w:t xml:space="preserve"> assess medication adherence and its relationship with organizational factors and patient characteristics.</w:t>
      </w:r>
      <w:r>
        <w:t xml:space="preserve"> </w:t>
      </w:r>
      <w:r w:rsidRPr="00016D83">
        <w:t xml:space="preserve">A convenient sample of 250 patients was selected from all type </w:t>
      </w:r>
      <w:r w:rsidR="00045BDA">
        <w:t>2</w:t>
      </w:r>
      <w:r w:rsidRPr="00016D83">
        <w:t xml:space="preserve"> diabetes patients who were seen regularly (at least two visits) over a period of one year. </w:t>
      </w:r>
      <w:r w:rsidR="00845F9B" w:rsidRPr="00016D83">
        <w:t>Pre-structured questionnaires</w:t>
      </w:r>
      <w:r w:rsidRPr="00016D83">
        <w:t xml:space="preserve"> sought information about patient socio-demographic and clinical characteristics, organizational factors, and medication adherence. Weight and height were measured. All prescribed medications were abstracted from patients' medical records. Medication adherence was defined as the Eight-Item </w:t>
      </w:r>
      <w:proofErr w:type="spellStart"/>
      <w:r w:rsidRPr="00016D83">
        <w:t>Morisky</w:t>
      </w:r>
      <w:proofErr w:type="spellEnd"/>
      <w:r w:rsidRPr="00016D83">
        <w:t xml:space="preserve"> Medication Adherence scale (MMAS-8) score ≥6.</w:t>
      </w:r>
      <w:r>
        <w:t xml:space="preserve"> </w:t>
      </w:r>
      <w:r w:rsidRPr="00016D83">
        <w:rPr>
          <w:rFonts w:asciiTheme="majorBidi" w:eastAsiaTheme="minorHAnsi" w:hAnsiTheme="majorBidi" w:cstheme="majorBidi"/>
        </w:rPr>
        <w:t>Descriptive and comparative statistics were used to describe patient characteristics. All analyses were performed using SPSS v 16.0.</w:t>
      </w:r>
      <w:r>
        <w:rPr>
          <w:rFonts w:asciiTheme="majorBidi" w:eastAsiaTheme="minorHAnsi" w:hAnsiTheme="majorBidi" w:cstheme="majorBidi"/>
        </w:rPr>
        <w:t xml:space="preserve"> </w:t>
      </w:r>
      <w:r w:rsidRPr="00016D83">
        <w:rPr>
          <w:rFonts w:asciiTheme="majorBidi" w:eastAsiaTheme="minorHAnsi" w:hAnsiTheme="majorBidi" w:cstheme="majorBidi"/>
        </w:rPr>
        <w:t>The majority were medication adherent</w:t>
      </w:r>
      <w:r>
        <w:rPr>
          <w:rFonts w:asciiTheme="majorBidi" w:eastAsiaTheme="minorHAnsi" w:hAnsiTheme="majorBidi" w:cstheme="majorBidi"/>
        </w:rPr>
        <w:t xml:space="preserve"> (72.4%)</w:t>
      </w:r>
      <w:r w:rsidRPr="00016D83">
        <w:rPr>
          <w:rFonts w:asciiTheme="majorBidi" w:eastAsiaTheme="minorHAnsi" w:hAnsiTheme="majorBidi" w:cstheme="majorBidi"/>
        </w:rPr>
        <w:t>. The multivariate analysis showed that female participants (OR=0.40, P &lt;0.05) were significantly related to decreased odds of medication adherence, and increased diabetes duration (OR=1.05, P &lt;0.05) was significantly related to increased odds of medication adherence.</w:t>
      </w:r>
      <w:r>
        <w:rPr>
          <w:rFonts w:asciiTheme="majorBidi" w:eastAsiaTheme="minorHAnsi" w:hAnsiTheme="majorBidi" w:cstheme="majorBidi"/>
        </w:rPr>
        <w:t xml:space="preserve"> </w:t>
      </w:r>
      <w:r w:rsidRPr="00016D83">
        <w:rPr>
          <w:rFonts w:asciiTheme="majorBidi" w:eastAsiaTheme="minorHAnsi" w:hAnsiTheme="majorBidi" w:cstheme="majorBidi"/>
        </w:rPr>
        <w:t>The proportion of patients who were adherent was high, which was nearly comparable to that reported from many countries. There were significant disparities between female and male participants in their medication adherence. Female participants were less likely to be medication adherent, and all healthcare professionals in the health care system might concern the depression disparity among female and male participants.</w:t>
      </w:r>
    </w:p>
    <w:p w:rsidR="00B31827" w:rsidRDefault="00B31827" w:rsidP="003B2D9F">
      <w:pPr>
        <w:spacing w:after="0" w:line="240" w:lineRule="auto"/>
        <w:ind w:firstLine="0"/>
        <w:rPr>
          <w:szCs w:val="32"/>
        </w:rPr>
      </w:pPr>
    </w:p>
    <w:p w:rsidR="00B31827" w:rsidRPr="00EB1BA3" w:rsidRDefault="00B31827" w:rsidP="001E3593">
      <w:pPr>
        <w:spacing w:after="0" w:line="240" w:lineRule="auto"/>
        <w:ind w:firstLine="0"/>
        <w:rPr>
          <w:szCs w:val="32"/>
        </w:rPr>
      </w:pPr>
      <w:r w:rsidRPr="001E3593">
        <w:rPr>
          <w:b/>
          <w:bCs/>
          <w:i/>
          <w:iCs/>
          <w:szCs w:val="32"/>
        </w:rPr>
        <w:t xml:space="preserve">Key words: </w:t>
      </w:r>
      <w:r w:rsidRPr="00EB1BA3">
        <w:rPr>
          <w:szCs w:val="32"/>
        </w:rPr>
        <w:t xml:space="preserve">Organizational factors, MMAS-8, </w:t>
      </w:r>
      <w:r>
        <w:rPr>
          <w:szCs w:val="32"/>
        </w:rPr>
        <w:t>m</w:t>
      </w:r>
      <w:r w:rsidRPr="00EB1BA3">
        <w:rPr>
          <w:szCs w:val="32"/>
        </w:rPr>
        <w:t>edication adherence, type 2 diabetes</w:t>
      </w:r>
      <w:r>
        <w:rPr>
          <w:szCs w:val="32"/>
        </w:rPr>
        <w:t>.</w:t>
      </w:r>
    </w:p>
    <w:p w:rsidR="00B31827" w:rsidRDefault="00B31827">
      <w:pPr>
        <w:spacing w:after="200" w:line="276" w:lineRule="auto"/>
        <w:ind w:firstLine="0"/>
        <w:jc w:val="left"/>
      </w:pPr>
      <w:r>
        <w:br w:type="page"/>
      </w:r>
    </w:p>
    <w:p w:rsidR="00B31827" w:rsidRDefault="00B31827" w:rsidP="009E3E9C">
      <w:pPr>
        <w:spacing w:after="0" w:line="240" w:lineRule="auto"/>
        <w:ind w:right="86" w:firstLine="0"/>
        <w:rPr>
          <w:b/>
          <w:bCs/>
        </w:rPr>
      </w:pPr>
      <w:r w:rsidRPr="00492ED7">
        <w:rPr>
          <w:b/>
          <w:bCs/>
        </w:rPr>
        <w:lastRenderedPageBreak/>
        <w:t>INTRODUCTION</w:t>
      </w:r>
    </w:p>
    <w:p w:rsidR="00B31827" w:rsidRPr="00492ED7" w:rsidRDefault="00B31827" w:rsidP="009E3E9C">
      <w:pPr>
        <w:spacing w:after="0" w:line="240" w:lineRule="auto"/>
        <w:ind w:right="86" w:firstLine="0"/>
        <w:rPr>
          <w:b/>
          <w:bCs/>
        </w:rPr>
      </w:pPr>
    </w:p>
    <w:p w:rsidR="00B31827" w:rsidRPr="00D83730" w:rsidRDefault="00B31827" w:rsidP="008C538B">
      <w:pPr>
        <w:spacing w:after="0" w:line="240" w:lineRule="auto"/>
        <w:ind w:right="85" w:firstLine="0"/>
      </w:pPr>
      <w:r w:rsidRPr="00D83730">
        <w:t xml:space="preserve">Diabetes is a chronic disease that dramatically affects the patient’s life pattern, and the patient must coexist with it for his/her entire whole life </w:t>
      </w:r>
      <w:r>
        <w:rPr>
          <w:noProof/>
        </w:rPr>
        <w:t>(Ali et al., 2012; Mosadeghrad, 2014)</w:t>
      </w:r>
      <w:r w:rsidRPr="00D83730">
        <w:rPr>
          <w:noProof/>
        </w:rPr>
        <w:t xml:space="preserve">. </w:t>
      </w:r>
      <w:r w:rsidRPr="00D83730">
        <w:t xml:space="preserve">Diabetes </w:t>
      </w:r>
      <w:r>
        <w:t>s</w:t>
      </w:r>
      <w:r w:rsidRPr="00D83730">
        <w:t>elf–</w:t>
      </w:r>
      <w:r>
        <w:t>c</w:t>
      </w:r>
      <w:r w:rsidRPr="00D83730">
        <w:t xml:space="preserve">are </w:t>
      </w:r>
      <w:r>
        <w:t>m</w:t>
      </w:r>
      <w:r w:rsidRPr="00D83730">
        <w:t xml:space="preserve">anagement most commonly refers to </w:t>
      </w:r>
      <w:r>
        <w:t>medication adherence</w:t>
      </w:r>
      <w:r w:rsidRPr="00D83730">
        <w:t xml:space="preserve">, but they also include other dimensions in terms of dietary restriction, physical exercise, and </w:t>
      </w:r>
      <w:r>
        <w:t>self blood</w:t>
      </w:r>
      <w:r w:rsidRPr="00D83730">
        <w:t>–</w:t>
      </w:r>
      <w:r>
        <w:t>glucose monitoring</w:t>
      </w:r>
      <w:r w:rsidRPr="00D83730">
        <w:t xml:space="preserve"> levels that are usually used to measure patient adherence </w:t>
      </w:r>
      <w:r>
        <w:rPr>
          <w:noProof/>
        </w:rPr>
        <w:t>(Gazmararian et al., 2009)</w:t>
      </w:r>
      <w:r w:rsidRPr="00D83730">
        <w:t>.</w:t>
      </w:r>
      <w:r>
        <w:t xml:space="preserve"> </w:t>
      </w:r>
      <w:r w:rsidRPr="00D83730">
        <w:t xml:space="preserve">Anti–diabetic medication is an option resorted in the event of diabetes control failure through diet and exercise </w:t>
      </w:r>
      <w:r>
        <w:rPr>
          <w:noProof/>
        </w:rPr>
        <w:t>(Brown et al., 2004)</w:t>
      </w:r>
      <w:r w:rsidRPr="00D83730">
        <w:t xml:space="preserve">. There are several medication options for diabetes management which are used by the physician according to what fits the patient’s health status. Anti–diabetic medications range from multiple </w:t>
      </w:r>
      <w:r>
        <w:t>oral hypoglycemic drug</w:t>
      </w:r>
      <w:r w:rsidRPr="00D83730">
        <w:t xml:space="preserve">s options to various forms of Insulin injections available to cater to individual patients’ lifestyles and health requirements. However, some patients require Insulin to lower their blood glucose level, either alone or in combination with </w:t>
      </w:r>
      <w:r>
        <w:t>oral hypoglycemic drug</w:t>
      </w:r>
      <w:r w:rsidRPr="00D83730">
        <w:t xml:space="preserve">s </w:t>
      </w:r>
      <w:r w:rsidRPr="008C538B">
        <w:rPr>
          <w:noProof/>
        </w:rPr>
        <w:t>(Ali, 2006)</w:t>
      </w:r>
      <w:r w:rsidRPr="00D83730">
        <w:t>.</w:t>
      </w:r>
    </w:p>
    <w:p w:rsidR="00B31827" w:rsidRDefault="00B31827" w:rsidP="008C538B">
      <w:pPr>
        <w:spacing w:after="0" w:line="240" w:lineRule="auto"/>
        <w:ind w:right="85" w:firstLine="0"/>
      </w:pPr>
      <w:r>
        <w:t>Medication adherence</w:t>
      </w:r>
      <w:r w:rsidRPr="00D83730">
        <w:t xml:space="preserve"> </w:t>
      </w:r>
      <w:r>
        <w:t xml:space="preserve">was measured </w:t>
      </w:r>
      <w:r w:rsidRPr="00D83730">
        <w:t xml:space="preserve">with the Arabic translated version of the Eight–Item </w:t>
      </w:r>
      <w:proofErr w:type="spellStart"/>
      <w:r w:rsidRPr="00D83730">
        <w:t>Morisky</w:t>
      </w:r>
      <w:proofErr w:type="spellEnd"/>
      <w:r w:rsidRPr="00D83730">
        <w:t xml:space="preserve"> Medication Adherence Scale (MMAS–8)</w:t>
      </w:r>
      <w:r>
        <w:t>,</w:t>
      </w:r>
      <w:r w:rsidRPr="00D83730">
        <w:t xml:space="preserve"> </w:t>
      </w:r>
      <w:r>
        <w:t>and a</w:t>
      </w:r>
      <w:r w:rsidRPr="00D83730">
        <w:t>bout 57% of Palestinian diabetes patients were considered adherent</w:t>
      </w:r>
      <w:r>
        <w:t xml:space="preserve"> </w:t>
      </w:r>
      <w:r w:rsidRPr="008C538B">
        <w:rPr>
          <w:noProof/>
        </w:rPr>
        <w:t>(Sweileh et al., 2014)</w:t>
      </w:r>
      <w:r w:rsidRPr="00D83730">
        <w:t>. In Egypt, about 83% of diabetes patients were adherent</w:t>
      </w:r>
      <w:r>
        <w:t xml:space="preserve"> </w:t>
      </w:r>
      <w:r>
        <w:rPr>
          <w:noProof/>
        </w:rPr>
        <w:t>(Shams and Barakat, 2010)</w:t>
      </w:r>
      <w:r>
        <w:t xml:space="preserve">. </w:t>
      </w:r>
      <w:r w:rsidRPr="00D83730">
        <w:t xml:space="preserve">Conversely, the adherence is divided between poor adherence and good adherence, which is reflected in the results of others. Thus, about 45% of diabetes patients were poorly adhered to the treatment with </w:t>
      </w:r>
      <w:r>
        <w:t>oral hypoglycemic drug</w:t>
      </w:r>
      <w:r w:rsidRPr="00D83730">
        <w:t xml:space="preserve">s, and almost 39% of them were in good adherence to </w:t>
      </w:r>
      <w:r>
        <w:t>oral hypoglycemic drug</w:t>
      </w:r>
      <w:r w:rsidRPr="00D83730">
        <w:t xml:space="preserve">s. Few studies were conducted about </w:t>
      </w:r>
      <w:r>
        <w:t>medication adherence</w:t>
      </w:r>
      <w:r w:rsidRPr="00D83730">
        <w:t xml:space="preserve"> in Arab countries; most of them were carried out in Palestine and Saudi Arabia </w:t>
      </w:r>
      <w:r>
        <w:rPr>
          <w:noProof/>
        </w:rPr>
        <w:t>(Al-Elq, 2009; Daoud et al., 2014; Khattab et al., 1999; Sweileh et al., 2003; Sweileh et al., 2005)</w:t>
      </w:r>
      <w:r w:rsidRPr="00D83730">
        <w:t xml:space="preserve">. Nevertheless, </w:t>
      </w:r>
      <w:r>
        <w:t>medication adherence</w:t>
      </w:r>
      <w:r w:rsidRPr="00D83730">
        <w:t xml:space="preserve"> data among Palestinian diabetes patients are st</w:t>
      </w:r>
      <w:r>
        <w:t>ill scarce</w:t>
      </w:r>
      <w:r w:rsidRPr="00D83730">
        <w:t xml:space="preserve"> </w:t>
      </w:r>
      <w:r>
        <w:t xml:space="preserve">and </w:t>
      </w:r>
      <w:r w:rsidRPr="00D83730">
        <w:t xml:space="preserve">little is known about </w:t>
      </w:r>
      <w:r>
        <w:t>medication adherence</w:t>
      </w:r>
      <w:r w:rsidRPr="00D83730">
        <w:t xml:space="preserve"> </w:t>
      </w:r>
      <w:r>
        <w:t>in</w:t>
      </w:r>
      <w:r w:rsidRPr="00D83730">
        <w:t xml:space="preserve"> </w:t>
      </w:r>
      <w:r>
        <w:t>Palestine</w:t>
      </w:r>
      <w:r w:rsidRPr="00D83730">
        <w:t>.</w:t>
      </w:r>
      <w:r>
        <w:t xml:space="preserve"> Hence, this study has assessed medication adherence and its relationship with patient characteristics and organizational factors among type 2 diabetes patients.</w:t>
      </w:r>
    </w:p>
    <w:p w:rsidR="00B31827" w:rsidRDefault="00B31827" w:rsidP="009E3E9C">
      <w:pPr>
        <w:spacing w:after="0" w:line="240" w:lineRule="auto"/>
        <w:ind w:right="85" w:firstLine="0"/>
      </w:pPr>
    </w:p>
    <w:p w:rsidR="00B31827" w:rsidRPr="00084931" w:rsidRDefault="00B31827" w:rsidP="00A41978">
      <w:pPr>
        <w:spacing w:after="0" w:line="240" w:lineRule="auto"/>
        <w:ind w:right="86" w:firstLine="0"/>
        <w:rPr>
          <w:b/>
          <w:bCs/>
        </w:rPr>
      </w:pPr>
      <w:r w:rsidRPr="00084931">
        <w:rPr>
          <w:b/>
          <w:bCs/>
        </w:rPr>
        <w:t>METHODS</w:t>
      </w:r>
    </w:p>
    <w:p w:rsidR="00B31827" w:rsidRDefault="00B31827" w:rsidP="00A41978">
      <w:pPr>
        <w:spacing w:after="0" w:line="240" w:lineRule="auto"/>
        <w:ind w:firstLine="0"/>
        <w:rPr>
          <w:rFonts w:asciiTheme="majorBidi" w:hAnsiTheme="majorBidi" w:cstheme="majorBidi"/>
          <w:b/>
          <w:bCs/>
        </w:rPr>
      </w:pPr>
    </w:p>
    <w:p w:rsidR="00B31827" w:rsidRDefault="00B31827" w:rsidP="00A41978">
      <w:pPr>
        <w:spacing w:after="0" w:line="240" w:lineRule="auto"/>
        <w:ind w:firstLine="0"/>
        <w:rPr>
          <w:rFonts w:asciiTheme="majorBidi" w:hAnsiTheme="majorBidi" w:cstheme="majorBidi"/>
        </w:rPr>
      </w:pPr>
      <w:r>
        <w:rPr>
          <w:rFonts w:asciiTheme="majorBidi" w:hAnsiTheme="majorBidi" w:cstheme="majorBidi"/>
        </w:rPr>
        <w:t xml:space="preserve">A cross sectional study was carried out to assess the medication adherence and its relationship with patient characteristics and organizational factors among type </w:t>
      </w:r>
      <w:r w:rsidR="007640C6">
        <w:rPr>
          <w:rFonts w:asciiTheme="majorBidi" w:hAnsiTheme="majorBidi" w:cstheme="majorBidi"/>
        </w:rPr>
        <w:t>2</w:t>
      </w:r>
      <w:r>
        <w:rPr>
          <w:rFonts w:asciiTheme="majorBidi" w:hAnsiTheme="majorBidi" w:cstheme="majorBidi"/>
        </w:rPr>
        <w:t xml:space="preserve"> diabetes patients of the National Center for Chronic Diseases and Dermatology in Ramallah, Palestine. The study was completed over a period of one year for 250 patients diagnosed with type </w:t>
      </w:r>
      <w:r w:rsidR="007640C6">
        <w:rPr>
          <w:rFonts w:asciiTheme="majorBidi" w:hAnsiTheme="majorBidi" w:cstheme="majorBidi"/>
        </w:rPr>
        <w:t>2</w:t>
      </w:r>
      <w:r>
        <w:rPr>
          <w:rFonts w:asciiTheme="majorBidi" w:hAnsiTheme="majorBidi" w:cstheme="majorBidi"/>
        </w:rPr>
        <w:t xml:space="preserve"> diabetes for one year or more, visited the center at least two times during the previous one year, signed the consent form </w:t>
      </w:r>
      <w:r>
        <w:t>before participating in the study</w:t>
      </w:r>
      <w:r>
        <w:rPr>
          <w:rFonts w:asciiTheme="majorBidi" w:hAnsiTheme="majorBidi" w:cstheme="majorBidi"/>
        </w:rPr>
        <w:t>, and selected by convenient sampling method. P</w:t>
      </w:r>
      <w:r w:rsidRPr="0031176F">
        <w:rPr>
          <w:rFonts w:asciiTheme="majorBidi" w:hAnsiTheme="majorBidi" w:cstheme="majorBidi"/>
        </w:rPr>
        <w:t>ersonal interviews and a medical records review for the past one year using a set of questionnaires and data collection forms</w:t>
      </w:r>
      <w:r>
        <w:rPr>
          <w:rFonts w:asciiTheme="majorBidi" w:hAnsiTheme="majorBidi" w:cstheme="majorBidi"/>
        </w:rPr>
        <w:t xml:space="preserve"> collected data concerning patient socio-demographic and clinical characteristics, organizational factors, and medication adherence profile.</w:t>
      </w:r>
    </w:p>
    <w:p w:rsidR="00B31827" w:rsidRPr="003D2C77" w:rsidRDefault="00B31827" w:rsidP="008C538B">
      <w:pPr>
        <w:spacing w:after="0" w:line="240" w:lineRule="auto"/>
        <w:ind w:firstLine="0"/>
        <w:rPr>
          <w:rFonts w:asciiTheme="majorBidi" w:hAnsiTheme="majorBidi" w:cstheme="majorBidi"/>
        </w:rPr>
      </w:pPr>
      <w:r w:rsidRPr="008A4EF1">
        <w:rPr>
          <w:rFonts w:asciiTheme="majorBidi" w:hAnsiTheme="majorBidi" w:cstheme="majorBidi"/>
        </w:rPr>
        <w:t xml:space="preserve">Eight questions were designed to form MMAS–8 which measures </w:t>
      </w:r>
      <w:r>
        <w:rPr>
          <w:rFonts w:asciiTheme="majorBidi" w:hAnsiTheme="majorBidi" w:cstheme="majorBidi"/>
        </w:rPr>
        <w:t>medication adherence</w:t>
      </w:r>
      <w:r w:rsidRPr="008A4EF1">
        <w:rPr>
          <w:rFonts w:asciiTheme="majorBidi" w:hAnsiTheme="majorBidi" w:cstheme="majorBidi"/>
        </w:rPr>
        <w:t xml:space="preserve">. The first </w:t>
      </w:r>
      <w:r>
        <w:rPr>
          <w:rFonts w:asciiTheme="majorBidi" w:hAnsiTheme="majorBidi" w:cstheme="majorBidi"/>
        </w:rPr>
        <w:t>seven</w:t>
      </w:r>
      <w:r w:rsidRPr="008A4EF1">
        <w:rPr>
          <w:rFonts w:asciiTheme="majorBidi" w:hAnsiTheme="majorBidi" w:cstheme="majorBidi"/>
        </w:rPr>
        <w:t xml:space="preserve"> items are yes/no questions while </w:t>
      </w:r>
      <w:r>
        <w:rPr>
          <w:rFonts w:asciiTheme="majorBidi" w:hAnsiTheme="majorBidi" w:cstheme="majorBidi"/>
        </w:rPr>
        <w:t xml:space="preserve">the </w:t>
      </w:r>
      <w:r w:rsidRPr="008A4EF1">
        <w:rPr>
          <w:rFonts w:asciiTheme="majorBidi" w:hAnsiTheme="majorBidi" w:cstheme="majorBidi"/>
        </w:rPr>
        <w:t xml:space="preserve">last </w:t>
      </w:r>
      <w:r>
        <w:rPr>
          <w:rFonts w:asciiTheme="majorBidi" w:hAnsiTheme="majorBidi" w:cstheme="majorBidi"/>
        </w:rPr>
        <w:t>8</w:t>
      </w:r>
      <w:r w:rsidRPr="003D2C77">
        <w:rPr>
          <w:rFonts w:asciiTheme="majorBidi" w:hAnsiTheme="majorBidi" w:cstheme="majorBidi"/>
        </w:rPr>
        <w:t>th</w:t>
      </w:r>
      <w:r w:rsidRPr="008A4EF1">
        <w:rPr>
          <w:rFonts w:asciiTheme="majorBidi" w:hAnsiTheme="majorBidi" w:cstheme="majorBidi"/>
        </w:rPr>
        <w:t xml:space="preserve"> question is answered on a </w:t>
      </w:r>
      <w:r>
        <w:rPr>
          <w:rFonts w:asciiTheme="majorBidi" w:hAnsiTheme="majorBidi" w:cstheme="majorBidi"/>
        </w:rPr>
        <w:t>five</w:t>
      </w:r>
      <w:r w:rsidRPr="008A4EF1">
        <w:rPr>
          <w:rFonts w:asciiTheme="majorBidi" w:hAnsiTheme="majorBidi" w:cstheme="majorBidi"/>
        </w:rPr>
        <w:t xml:space="preserve"> point </w:t>
      </w:r>
      <w:proofErr w:type="spellStart"/>
      <w:r w:rsidRPr="008A4EF1">
        <w:rPr>
          <w:rFonts w:asciiTheme="majorBidi" w:hAnsiTheme="majorBidi" w:cstheme="majorBidi"/>
        </w:rPr>
        <w:t>Likert</w:t>
      </w:r>
      <w:proofErr w:type="spellEnd"/>
      <w:r w:rsidRPr="008A4EF1">
        <w:rPr>
          <w:rFonts w:asciiTheme="majorBidi" w:hAnsiTheme="majorBidi" w:cstheme="majorBidi"/>
        </w:rPr>
        <w:t xml:space="preserve"> scale. Eight scores form the highest scores of the scoring system of MMAS–8, so scores can range from </w:t>
      </w:r>
      <w:r>
        <w:rPr>
          <w:rFonts w:asciiTheme="majorBidi" w:hAnsiTheme="majorBidi" w:cstheme="majorBidi"/>
        </w:rPr>
        <w:t>zero</w:t>
      </w:r>
      <w:r w:rsidRPr="008A4EF1">
        <w:rPr>
          <w:rFonts w:asciiTheme="majorBidi" w:hAnsiTheme="majorBidi" w:cstheme="majorBidi"/>
        </w:rPr>
        <w:t xml:space="preserve"> to </w:t>
      </w:r>
      <w:r>
        <w:rPr>
          <w:rFonts w:asciiTheme="majorBidi" w:hAnsiTheme="majorBidi" w:cstheme="majorBidi"/>
        </w:rPr>
        <w:t>eight</w:t>
      </w:r>
      <w:r w:rsidRPr="008A4EF1">
        <w:rPr>
          <w:rFonts w:asciiTheme="majorBidi" w:hAnsiTheme="majorBidi" w:cstheme="majorBidi"/>
        </w:rPr>
        <w:t xml:space="preserve">. One score is given for each “No” answer except for question number </w:t>
      </w:r>
      <w:r>
        <w:rPr>
          <w:rFonts w:asciiTheme="majorBidi" w:hAnsiTheme="majorBidi" w:cstheme="majorBidi"/>
        </w:rPr>
        <w:t>five</w:t>
      </w:r>
      <w:r w:rsidRPr="008A4EF1">
        <w:rPr>
          <w:rFonts w:asciiTheme="majorBidi" w:hAnsiTheme="majorBidi" w:cstheme="majorBidi"/>
        </w:rPr>
        <w:t xml:space="preserve"> where </w:t>
      </w:r>
      <w:r>
        <w:rPr>
          <w:rFonts w:asciiTheme="majorBidi" w:hAnsiTheme="majorBidi" w:cstheme="majorBidi"/>
        </w:rPr>
        <w:t>one</w:t>
      </w:r>
      <w:r w:rsidRPr="008A4EF1">
        <w:rPr>
          <w:rFonts w:asciiTheme="majorBidi" w:hAnsiTheme="majorBidi" w:cstheme="majorBidi"/>
        </w:rPr>
        <w:t xml:space="preserve"> score is given for “Yes” answer. In the </w:t>
      </w:r>
      <w:r>
        <w:rPr>
          <w:rFonts w:asciiTheme="majorBidi" w:hAnsiTheme="majorBidi" w:cstheme="majorBidi"/>
        </w:rPr>
        <w:t>eigh</w:t>
      </w:r>
      <w:r w:rsidRPr="008A4EF1">
        <w:rPr>
          <w:rFonts w:asciiTheme="majorBidi" w:hAnsiTheme="majorBidi" w:cstheme="majorBidi"/>
        </w:rPr>
        <w:t xml:space="preserve">th question, </w:t>
      </w:r>
      <w:r>
        <w:rPr>
          <w:rFonts w:asciiTheme="majorBidi" w:hAnsiTheme="majorBidi" w:cstheme="majorBidi"/>
        </w:rPr>
        <w:t>zero</w:t>
      </w:r>
      <w:r w:rsidRPr="008A4EF1">
        <w:rPr>
          <w:rFonts w:asciiTheme="majorBidi" w:hAnsiTheme="majorBidi" w:cstheme="majorBidi"/>
        </w:rPr>
        <w:t xml:space="preserve"> score is given if the answer is ticked on “all the time” item in contrast to “never/rarely” answer where </w:t>
      </w:r>
      <w:r>
        <w:rPr>
          <w:rFonts w:asciiTheme="majorBidi" w:hAnsiTheme="majorBidi" w:cstheme="majorBidi"/>
        </w:rPr>
        <w:t>one</w:t>
      </w:r>
      <w:r w:rsidRPr="008A4EF1">
        <w:rPr>
          <w:rFonts w:asciiTheme="majorBidi" w:hAnsiTheme="majorBidi" w:cstheme="majorBidi"/>
        </w:rPr>
        <w:t xml:space="preserve"> score is given. Therefore, the total </w:t>
      </w:r>
      <w:r>
        <w:rPr>
          <w:rFonts w:asciiTheme="majorBidi" w:hAnsiTheme="majorBidi" w:cstheme="majorBidi"/>
        </w:rPr>
        <w:t xml:space="preserve">MMAS-8 </w:t>
      </w:r>
      <w:r w:rsidRPr="008A4EF1">
        <w:rPr>
          <w:rFonts w:asciiTheme="majorBidi" w:hAnsiTheme="majorBidi" w:cstheme="majorBidi"/>
        </w:rPr>
        <w:t xml:space="preserve">score is the result of the sum–up of the </w:t>
      </w:r>
      <w:r>
        <w:rPr>
          <w:rFonts w:asciiTheme="majorBidi" w:hAnsiTheme="majorBidi" w:cstheme="majorBidi"/>
        </w:rPr>
        <w:t>eight</w:t>
      </w:r>
      <w:r w:rsidRPr="008A4EF1">
        <w:rPr>
          <w:rFonts w:asciiTheme="majorBidi" w:hAnsiTheme="majorBidi" w:cstheme="majorBidi"/>
        </w:rPr>
        <w:t xml:space="preserve"> items</w:t>
      </w:r>
      <w:r>
        <w:rPr>
          <w:rFonts w:asciiTheme="majorBidi" w:hAnsiTheme="majorBidi" w:cstheme="majorBidi"/>
        </w:rPr>
        <w:t xml:space="preserve"> scores</w:t>
      </w:r>
      <w:r w:rsidRPr="008A4EF1">
        <w:rPr>
          <w:rFonts w:asciiTheme="majorBidi" w:hAnsiTheme="majorBidi" w:cstheme="majorBidi"/>
        </w:rPr>
        <w:t>.</w:t>
      </w:r>
      <w:r w:rsidR="007640C6">
        <w:rPr>
          <w:rFonts w:asciiTheme="majorBidi" w:hAnsiTheme="majorBidi" w:cstheme="majorBidi"/>
        </w:rPr>
        <w:t xml:space="preserve"> </w:t>
      </w:r>
      <w:r>
        <w:rPr>
          <w:rFonts w:asciiTheme="majorBidi" w:hAnsiTheme="majorBidi" w:cstheme="majorBidi"/>
          <w:noProof/>
        </w:rPr>
        <w:t xml:space="preserve">(Ashur et al., 2016; Jamous et al., 2011; Sweileh et al., 2011; </w:t>
      </w:r>
      <w:r>
        <w:rPr>
          <w:rFonts w:asciiTheme="majorBidi" w:hAnsiTheme="majorBidi" w:cstheme="majorBidi"/>
          <w:noProof/>
        </w:rPr>
        <w:lastRenderedPageBreak/>
        <w:t>Sweileh et al., 2014; Zyoud et al., 2013)</w:t>
      </w:r>
      <w:r>
        <w:rPr>
          <w:rFonts w:asciiTheme="majorBidi" w:hAnsiTheme="majorBidi" w:cstheme="majorBidi"/>
        </w:rPr>
        <w:t xml:space="preserve">. The participants were divided into two medication adherence groups: </w:t>
      </w:r>
      <w:r w:rsidR="003A087C">
        <w:rPr>
          <w:rFonts w:asciiTheme="majorBidi" w:hAnsiTheme="majorBidi" w:cstheme="majorBidi"/>
        </w:rPr>
        <w:t>those non-adherents</w:t>
      </w:r>
      <w:r>
        <w:rPr>
          <w:rFonts w:asciiTheme="majorBidi" w:hAnsiTheme="majorBidi" w:cstheme="majorBidi"/>
        </w:rPr>
        <w:t xml:space="preserve"> with the MMAS-8 score &lt;6 and adherent with MMAS-8 score </w:t>
      </w:r>
      <w:r w:rsidRPr="0031176F">
        <w:rPr>
          <w:rFonts w:asciiTheme="majorBidi" w:hAnsiTheme="majorBidi" w:cstheme="majorBidi"/>
        </w:rPr>
        <w:t>≥6</w:t>
      </w:r>
      <w:r>
        <w:rPr>
          <w:rFonts w:asciiTheme="majorBidi" w:hAnsiTheme="majorBidi" w:cstheme="majorBidi"/>
        </w:rPr>
        <w:t xml:space="preserve">. The total scores for each organizational factor including quality of follow-up, preventive education, patient-healthcare professional relationship, patient-physicians facilitation and healthcare collaboration were then calculated for each participant, and mean ± Standard Deviation (SD) and median </w:t>
      </w:r>
      <w:r w:rsidRPr="0031176F">
        <w:rPr>
          <w:rFonts w:asciiTheme="majorBidi" w:hAnsiTheme="majorBidi" w:cstheme="majorBidi"/>
        </w:rPr>
        <w:t>(inter</w:t>
      </w:r>
      <w:r>
        <w:rPr>
          <w:rFonts w:asciiTheme="majorBidi" w:hAnsiTheme="majorBidi" w:cstheme="majorBidi"/>
        </w:rPr>
        <w:t>–</w:t>
      </w:r>
      <w:r w:rsidRPr="0031176F">
        <w:rPr>
          <w:rFonts w:asciiTheme="majorBidi" w:hAnsiTheme="majorBidi" w:cstheme="majorBidi"/>
        </w:rPr>
        <w:t>quartile range: Q1–Q3)</w:t>
      </w:r>
      <w:r>
        <w:rPr>
          <w:rFonts w:asciiTheme="majorBidi" w:hAnsiTheme="majorBidi" w:cstheme="majorBidi"/>
        </w:rPr>
        <w:t xml:space="preserve"> scores were calculated for all participants. </w:t>
      </w:r>
      <w:r w:rsidRPr="003D2C77">
        <w:rPr>
          <w:rFonts w:asciiTheme="majorBidi" w:hAnsiTheme="majorBidi" w:cstheme="majorBidi"/>
        </w:rPr>
        <w:t>Descriptive statistics was applied for the analysis of patient socio-demographic and clinical characteristics and the organizational factors data. Binary logistic regression followed by multiple logistic regression were performed to determine factors that are significantly related to medication adherence. The variables that showed significance in the binary logistic regression analyses were used to carry out multiple logistic regression analyses. The p-value equal to or less than 0.05 was considered as significant. Data was analyzed using SPSS version 16.0.</w:t>
      </w:r>
    </w:p>
    <w:p w:rsidR="00B31827" w:rsidRDefault="00B31827" w:rsidP="00A41978">
      <w:pPr>
        <w:spacing w:after="0" w:line="240" w:lineRule="auto"/>
        <w:ind w:right="86" w:firstLine="0"/>
      </w:pPr>
    </w:p>
    <w:p w:rsidR="00B31827" w:rsidRPr="003B0041" w:rsidRDefault="00B31827" w:rsidP="0024772F">
      <w:pPr>
        <w:spacing w:after="0" w:line="240" w:lineRule="auto"/>
        <w:ind w:right="86" w:firstLine="0"/>
        <w:rPr>
          <w:b/>
          <w:bCs/>
        </w:rPr>
      </w:pPr>
      <w:r w:rsidRPr="003B0041">
        <w:rPr>
          <w:b/>
          <w:bCs/>
        </w:rPr>
        <w:t>R</w:t>
      </w:r>
      <w:r>
        <w:rPr>
          <w:b/>
          <w:bCs/>
        </w:rPr>
        <w:t>ESULTS AND DISCUSSION</w:t>
      </w:r>
    </w:p>
    <w:p w:rsidR="00B31827" w:rsidRDefault="00B31827" w:rsidP="0024772F">
      <w:pPr>
        <w:spacing w:after="0" w:line="240" w:lineRule="auto"/>
        <w:ind w:firstLine="0"/>
        <w:rPr>
          <w:rFonts w:asciiTheme="majorBidi" w:hAnsiTheme="majorBidi" w:cstheme="majorBidi"/>
          <w:b/>
          <w:bCs/>
        </w:rPr>
      </w:pPr>
    </w:p>
    <w:p w:rsidR="00B31827" w:rsidRPr="00A36922" w:rsidRDefault="00B31827" w:rsidP="00B81841">
      <w:pPr>
        <w:spacing w:after="0" w:line="240" w:lineRule="auto"/>
        <w:ind w:firstLine="0"/>
        <w:rPr>
          <w:rFonts w:asciiTheme="majorBidi" w:hAnsiTheme="majorBidi" w:cstheme="majorBidi"/>
          <w:b/>
          <w:bCs/>
        </w:rPr>
      </w:pPr>
      <w:r w:rsidRPr="00A36922">
        <w:rPr>
          <w:rFonts w:asciiTheme="majorBidi" w:hAnsiTheme="majorBidi" w:cstheme="majorBidi"/>
          <w:b/>
          <w:bCs/>
        </w:rPr>
        <w:t>Socio-demographic and clinical characteristics of participants</w:t>
      </w:r>
    </w:p>
    <w:p w:rsidR="00B31827" w:rsidRPr="00A36922" w:rsidRDefault="00B31827" w:rsidP="00D063AD">
      <w:pPr>
        <w:spacing w:after="0" w:line="240" w:lineRule="auto"/>
        <w:ind w:firstLine="0"/>
        <w:rPr>
          <w:rFonts w:asciiTheme="majorBidi" w:hAnsiTheme="majorBidi" w:cstheme="majorBidi"/>
        </w:rPr>
      </w:pPr>
      <w:r w:rsidRPr="00A36922">
        <w:rPr>
          <w:rFonts w:asciiTheme="majorBidi" w:hAnsiTheme="majorBidi" w:cstheme="majorBidi"/>
        </w:rPr>
        <w:t xml:space="preserve">Almost 40% of the participants were in their fifties (50–59 years old). More than half of the participants were male (51.2%). The majority of </w:t>
      </w:r>
      <w:r w:rsidR="007640C6">
        <w:rPr>
          <w:rFonts w:asciiTheme="majorBidi" w:hAnsiTheme="majorBidi" w:cstheme="majorBidi"/>
        </w:rPr>
        <w:t xml:space="preserve">the </w:t>
      </w:r>
      <w:r w:rsidRPr="00A36922">
        <w:rPr>
          <w:rFonts w:asciiTheme="majorBidi" w:hAnsiTheme="majorBidi" w:cstheme="majorBidi"/>
        </w:rPr>
        <w:t xml:space="preserve">participants were married (76.7%). The household monthly income for 69.1% of the participants was less than 500 Jordanian Dinars (JDs) monthly. </w:t>
      </w:r>
      <w:r>
        <w:rPr>
          <w:rFonts w:asciiTheme="majorBidi" w:hAnsiTheme="majorBidi" w:cstheme="majorBidi"/>
        </w:rPr>
        <w:t>The majority</w:t>
      </w:r>
      <w:r w:rsidRPr="00A36922">
        <w:rPr>
          <w:rFonts w:asciiTheme="majorBidi" w:hAnsiTheme="majorBidi" w:cstheme="majorBidi"/>
        </w:rPr>
        <w:t xml:space="preserve"> of the participants hold school certificates (66.7%). Approximately</w:t>
      </w:r>
      <w:r>
        <w:rPr>
          <w:rFonts w:asciiTheme="majorBidi" w:hAnsiTheme="majorBidi" w:cstheme="majorBidi"/>
        </w:rPr>
        <w:t>,</w:t>
      </w:r>
      <w:r w:rsidRPr="00A36922">
        <w:rPr>
          <w:rFonts w:asciiTheme="majorBidi" w:hAnsiTheme="majorBidi" w:cstheme="majorBidi"/>
        </w:rPr>
        <w:t xml:space="preserve"> half of the participants had city residence (50.9%). </w:t>
      </w:r>
      <w:r w:rsidR="003A087C" w:rsidRPr="00A36922">
        <w:rPr>
          <w:rFonts w:asciiTheme="majorBidi" w:hAnsiTheme="majorBidi" w:cstheme="majorBidi"/>
        </w:rPr>
        <w:t>Higher</w:t>
      </w:r>
      <w:r w:rsidRPr="00A36922">
        <w:rPr>
          <w:rFonts w:asciiTheme="majorBidi" w:hAnsiTheme="majorBidi" w:cstheme="majorBidi"/>
        </w:rPr>
        <w:t xml:space="preserve"> proportions of the participants were housewives (39.4%). The overwhelming majority of the participants were covered by Government Health Insurance only (92.7%). The diabetes duration for 62.7% of the participants was more than ten years, and 11.5% did not suffer from additional chronic diseases. Slightly half of the participants had four or more additional chronic diseases (50.3%). The obesity (</w:t>
      </w:r>
      <w:r>
        <w:rPr>
          <w:rFonts w:asciiTheme="majorBidi" w:hAnsiTheme="majorBidi" w:cstheme="majorBidi"/>
        </w:rPr>
        <w:t>Body mass index</w:t>
      </w:r>
      <w:r w:rsidRPr="00A36922">
        <w:rPr>
          <w:rFonts w:asciiTheme="majorBidi" w:hAnsiTheme="majorBidi" w:cstheme="majorBidi"/>
        </w:rPr>
        <w:t>: ≥30kg/m2) was the most frequently reported (46.1%). The majority of the participants</w:t>
      </w:r>
      <w:r w:rsidRPr="00A36922">
        <w:rPr>
          <w:rFonts w:asciiTheme="majorBidi" w:hAnsiTheme="majorBidi" w:cstheme="majorBidi" w:hint="cs"/>
          <w:rtl/>
        </w:rPr>
        <w:t xml:space="preserve"> </w:t>
      </w:r>
      <w:r w:rsidRPr="00A36922">
        <w:rPr>
          <w:rFonts w:asciiTheme="majorBidi" w:hAnsiTheme="majorBidi" w:cstheme="majorBidi"/>
        </w:rPr>
        <w:t>were non–smokers (63.3%). Less than half of the participants took seven or more medications on a regular basis (47%). The reported mean ± SD and median medications number taken on daily basis were 6.4±2.8 and 6</w:t>
      </w:r>
      <w:r>
        <w:rPr>
          <w:rFonts w:asciiTheme="majorBidi" w:hAnsiTheme="majorBidi" w:cstheme="majorBidi"/>
        </w:rPr>
        <w:t>.0</w:t>
      </w:r>
      <w:r w:rsidRPr="00A36922">
        <w:rPr>
          <w:rFonts w:asciiTheme="majorBidi" w:hAnsiTheme="majorBidi" w:cstheme="majorBidi"/>
        </w:rPr>
        <w:t xml:space="preserve"> (Q1–Q3: 5</w:t>
      </w:r>
      <w:r>
        <w:rPr>
          <w:rFonts w:asciiTheme="majorBidi" w:hAnsiTheme="majorBidi" w:cstheme="majorBidi"/>
        </w:rPr>
        <w:t>.0</w:t>
      </w:r>
      <w:r w:rsidRPr="00A36922">
        <w:rPr>
          <w:rFonts w:asciiTheme="majorBidi" w:hAnsiTheme="majorBidi" w:cstheme="majorBidi"/>
        </w:rPr>
        <w:t>–8</w:t>
      </w:r>
      <w:r>
        <w:rPr>
          <w:rFonts w:asciiTheme="majorBidi" w:hAnsiTheme="majorBidi" w:cstheme="majorBidi"/>
        </w:rPr>
        <w:t>.0</w:t>
      </w:r>
      <w:r w:rsidRPr="00A36922">
        <w:rPr>
          <w:rFonts w:asciiTheme="majorBidi" w:hAnsiTheme="majorBidi" w:cstheme="majorBidi"/>
        </w:rPr>
        <w:t>), respectively.</w:t>
      </w:r>
    </w:p>
    <w:p w:rsidR="00B31827" w:rsidRPr="00A36922" w:rsidRDefault="00B31827" w:rsidP="0024772F">
      <w:pPr>
        <w:spacing w:after="0" w:line="240" w:lineRule="auto"/>
        <w:ind w:firstLine="0"/>
        <w:rPr>
          <w:rFonts w:asciiTheme="majorBidi" w:hAnsiTheme="majorBidi" w:cstheme="majorBidi"/>
        </w:rPr>
      </w:pPr>
    </w:p>
    <w:p w:rsidR="00B31827" w:rsidRDefault="00B31827" w:rsidP="0024772F">
      <w:pPr>
        <w:spacing w:after="0" w:line="240" w:lineRule="auto"/>
        <w:ind w:firstLine="0"/>
        <w:rPr>
          <w:b/>
          <w:bCs/>
        </w:rPr>
      </w:pPr>
      <w:r>
        <w:rPr>
          <w:b/>
          <w:bCs/>
        </w:rPr>
        <w:t>Reported o</w:t>
      </w:r>
      <w:r w:rsidRPr="00B828E7">
        <w:rPr>
          <w:b/>
          <w:bCs/>
        </w:rPr>
        <w:t xml:space="preserve">rganizational </w:t>
      </w:r>
      <w:r>
        <w:rPr>
          <w:b/>
          <w:bCs/>
        </w:rPr>
        <w:t>f</w:t>
      </w:r>
      <w:r w:rsidRPr="00B828E7">
        <w:rPr>
          <w:b/>
          <w:bCs/>
        </w:rPr>
        <w:t>actors</w:t>
      </w:r>
    </w:p>
    <w:p w:rsidR="00B31827" w:rsidRPr="00523912" w:rsidRDefault="00B31827" w:rsidP="00DD26A8">
      <w:pPr>
        <w:spacing w:after="0" w:line="240" w:lineRule="auto"/>
        <w:ind w:firstLine="0"/>
        <w:rPr>
          <w:rFonts w:asciiTheme="majorBidi" w:hAnsiTheme="majorBidi" w:cstheme="majorBidi"/>
        </w:rPr>
      </w:pPr>
      <w:r w:rsidRPr="00523912">
        <w:rPr>
          <w:rFonts w:asciiTheme="majorBidi" w:hAnsiTheme="majorBidi" w:cstheme="majorBidi"/>
        </w:rPr>
        <w:t>Diabetes preventive education data includes smoking status documentation and diabetes education that is obtained from personal interviews. The mean ± SD total preventive education score was 33.1±16.1, which was higher than average score (i.e. cumulative percentage=66.2%), and the median was 40</w:t>
      </w:r>
      <w:r>
        <w:rPr>
          <w:rFonts w:asciiTheme="majorBidi" w:hAnsiTheme="majorBidi" w:cstheme="majorBidi"/>
        </w:rPr>
        <w:t>.0</w:t>
      </w:r>
      <w:r w:rsidRPr="00523912">
        <w:rPr>
          <w:rFonts w:asciiTheme="majorBidi" w:hAnsiTheme="majorBidi" w:cstheme="majorBidi"/>
        </w:rPr>
        <w:t xml:space="preserve"> (Q1–Q3: 20</w:t>
      </w:r>
      <w:r>
        <w:rPr>
          <w:rFonts w:asciiTheme="majorBidi" w:hAnsiTheme="majorBidi" w:cstheme="majorBidi"/>
        </w:rPr>
        <w:t>.0</w:t>
      </w:r>
      <w:r w:rsidRPr="00523912">
        <w:rPr>
          <w:rFonts w:asciiTheme="majorBidi" w:hAnsiTheme="majorBidi" w:cstheme="majorBidi"/>
        </w:rPr>
        <w:t>–50</w:t>
      </w:r>
      <w:r>
        <w:rPr>
          <w:rFonts w:asciiTheme="majorBidi" w:hAnsiTheme="majorBidi" w:cstheme="majorBidi"/>
        </w:rPr>
        <w:t>.0</w:t>
      </w:r>
      <w:r w:rsidRPr="00523912">
        <w:rPr>
          <w:rFonts w:asciiTheme="majorBidi" w:hAnsiTheme="majorBidi" w:cstheme="majorBidi"/>
        </w:rPr>
        <w:t>). The mean ± SD total quality of follow–up score was higher than the average score (i.e. mean ± SD = 38.8±13.2</w:t>
      </w:r>
      <w:r w:rsidR="003A087C" w:rsidRPr="00523912">
        <w:rPr>
          <w:rFonts w:asciiTheme="majorBidi" w:hAnsiTheme="majorBidi" w:cstheme="majorBidi"/>
        </w:rPr>
        <w:t>; cumulative</w:t>
      </w:r>
      <w:r w:rsidRPr="00523912">
        <w:rPr>
          <w:rFonts w:asciiTheme="majorBidi" w:hAnsiTheme="majorBidi" w:cstheme="majorBidi"/>
        </w:rPr>
        <w:t xml:space="preserve"> percentage=55.4%), and the median was 4</w:t>
      </w:r>
      <w:r>
        <w:rPr>
          <w:rFonts w:asciiTheme="majorBidi" w:hAnsiTheme="majorBidi" w:cstheme="majorBidi"/>
        </w:rPr>
        <w:t>0.0</w:t>
      </w:r>
      <w:r w:rsidRPr="00523912">
        <w:rPr>
          <w:rFonts w:asciiTheme="majorBidi" w:hAnsiTheme="majorBidi" w:cstheme="majorBidi"/>
        </w:rPr>
        <w:t xml:space="preserve"> (Q1–Q3: 32.5–47.5). The mean ± SD and the median total </w:t>
      </w:r>
      <w:r>
        <w:rPr>
          <w:rFonts w:asciiTheme="majorBidi" w:hAnsiTheme="majorBidi" w:cstheme="majorBidi"/>
        </w:rPr>
        <w:t>patient-healthcare professionals</w:t>
      </w:r>
      <w:r w:rsidRPr="00523912">
        <w:rPr>
          <w:rFonts w:asciiTheme="majorBidi" w:hAnsiTheme="majorBidi" w:cstheme="majorBidi"/>
        </w:rPr>
        <w:t xml:space="preserve"> score was 38.5±15.9 and 30</w:t>
      </w:r>
      <w:r>
        <w:rPr>
          <w:rFonts w:asciiTheme="majorBidi" w:hAnsiTheme="majorBidi" w:cstheme="majorBidi"/>
        </w:rPr>
        <w:t>.0</w:t>
      </w:r>
      <w:r w:rsidRPr="00523912">
        <w:rPr>
          <w:rFonts w:asciiTheme="majorBidi" w:hAnsiTheme="majorBidi" w:cstheme="majorBidi"/>
        </w:rPr>
        <w:t xml:space="preserve"> (Q1–Q3: 28</w:t>
      </w:r>
      <w:r>
        <w:rPr>
          <w:rFonts w:asciiTheme="majorBidi" w:hAnsiTheme="majorBidi" w:cstheme="majorBidi"/>
        </w:rPr>
        <w:t>.0</w:t>
      </w:r>
      <w:r w:rsidRPr="00523912">
        <w:rPr>
          <w:rFonts w:asciiTheme="majorBidi" w:hAnsiTheme="majorBidi" w:cstheme="majorBidi"/>
        </w:rPr>
        <w:t>–52</w:t>
      </w:r>
      <w:r>
        <w:rPr>
          <w:rFonts w:asciiTheme="majorBidi" w:hAnsiTheme="majorBidi" w:cstheme="majorBidi"/>
        </w:rPr>
        <w:t>.0</w:t>
      </w:r>
      <w:r w:rsidRPr="00523912">
        <w:rPr>
          <w:rFonts w:asciiTheme="majorBidi" w:hAnsiTheme="majorBidi" w:cstheme="majorBidi"/>
        </w:rPr>
        <w:t>), respectively, which was lower than the average score (i.e. cumulative percentage=48.1%). The total patient–physicians facilitation score was higher than the av</w:t>
      </w:r>
      <w:r>
        <w:rPr>
          <w:rFonts w:asciiTheme="majorBidi" w:hAnsiTheme="majorBidi" w:cstheme="majorBidi"/>
        </w:rPr>
        <w:t>erage score (mean ± SD=11.1±2.9;</w:t>
      </w:r>
      <w:r w:rsidRPr="00523912">
        <w:rPr>
          <w:rFonts w:asciiTheme="majorBidi" w:hAnsiTheme="majorBidi" w:cstheme="majorBidi"/>
        </w:rPr>
        <w:t xml:space="preserve"> cumulative percentage=69.4%), and the median was 12</w:t>
      </w:r>
      <w:r>
        <w:rPr>
          <w:rFonts w:asciiTheme="majorBidi" w:hAnsiTheme="majorBidi" w:cstheme="majorBidi"/>
        </w:rPr>
        <w:t>.0</w:t>
      </w:r>
      <w:r w:rsidRPr="00523912">
        <w:rPr>
          <w:rFonts w:asciiTheme="majorBidi" w:hAnsiTheme="majorBidi" w:cstheme="majorBidi"/>
        </w:rPr>
        <w:t xml:space="preserve"> (Q1–Q3: 9</w:t>
      </w:r>
      <w:r>
        <w:rPr>
          <w:rFonts w:asciiTheme="majorBidi" w:hAnsiTheme="majorBidi" w:cstheme="majorBidi"/>
        </w:rPr>
        <w:t>.0</w:t>
      </w:r>
      <w:r w:rsidRPr="00523912">
        <w:rPr>
          <w:rFonts w:asciiTheme="majorBidi" w:hAnsiTheme="majorBidi" w:cstheme="majorBidi"/>
        </w:rPr>
        <w:t>–13</w:t>
      </w:r>
      <w:r>
        <w:rPr>
          <w:rFonts w:asciiTheme="majorBidi" w:hAnsiTheme="majorBidi" w:cstheme="majorBidi"/>
        </w:rPr>
        <w:t>.0</w:t>
      </w:r>
      <w:r w:rsidRPr="00523912">
        <w:rPr>
          <w:rFonts w:asciiTheme="majorBidi" w:hAnsiTheme="majorBidi" w:cstheme="majorBidi"/>
        </w:rPr>
        <w:t>). The mean ± SD total health care collaboration score was 1.6±0.9, which was lower than average score (i.e. cumulative percentage=26.7%), and the median was 1.0 (Q1–Q3: 1.0–2.0).</w:t>
      </w:r>
    </w:p>
    <w:p w:rsidR="00B31827" w:rsidRDefault="00B31827" w:rsidP="0024772F">
      <w:pPr>
        <w:spacing w:after="0" w:line="240" w:lineRule="auto"/>
        <w:ind w:firstLine="0"/>
        <w:rPr>
          <w:b/>
          <w:bCs/>
        </w:rPr>
      </w:pPr>
    </w:p>
    <w:p w:rsidR="00B31827" w:rsidRPr="00B24CD3" w:rsidRDefault="00B31827" w:rsidP="0024772F">
      <w:pPr>
        <w:spacing w:after="0" w:line="240" w:lineRule="auto"/>
        <w:ind w:firstLine="0"/>
        <w:rPr>
          <w:b/>
          <w:bCs/>
        </w:rPr>
      </w:pPr>
      <w:r>
        <w:rPr>
          <w:b/>
          <w:bCs/>
        </w:rPr>
        <w:t>Reported m</w:t>
      </w:r>
      <w:r w:rsidRPr="00B24CD3">
        <w:rPr>
          <w:b/>
          <w:bCs/>
        </w:rPr>
        <w:t>edication</w:t>
      </w:r>
      <w:r>
        <w:t xml:space="preserve"> </w:t>
      </w:r>
      <w:r>
        <w:rPr>
          <w:b/>
          <w:bCs/>
        </w:rPr>
        <w:t>a</w:t>
      </w:r>
      <w:r w:rsidRPr="00B24CD3">
        <w:rPr>
          <w:b/>
          <w:bCs/>
        </w:rPr>
        <w:t>dherence</w:t>
      </w:r>
    </w:p>
    <w:p w:rsidR="00B31827" w:rsidRDefault="00B31827" w:rsidP="0024772F">
      <w:pPr>
        <w:spacing w:after="0" w:line="240" w:lineRule="auto"/>
        <w:ind w:firstLine="0"/>
        <w:rPr>
          <w:rFonts w:asciiTheme="majorBidi" w:hAnsiTheme="majorBidi" w:cstheme="majorBidi"/>
        </w:rPr>
      </w:pPr>
      <w:r w:rsidRPr="007C54CC">
        <w:rPr>
          <w:rFonts w:asciiTheme="majorBidi" w:hAnsiTheme="majorBidi" w:cstheme="majorBidi"/>
        </w:rPr>
        <w:t>The mean ± SD total MMAS–8 score was 6.3±1.6 which was higher than average score (cumulative percentage=78.8%), and the median was 7</w:t>
      </w:r>
      <w:r>
        <w:rPr>
          <w:rFonts w:asciiTheme="majorBidi" w:hAnsiTheme="majorBidi" w:cstheme="majorBidi"/>
        </w:rPr>
        <w:t>.0</w:t>
      </w:r>
      <w:r w:rsidRPr="007C54CC">
        <w:rPr>
          <w:rFonts w:asciiTheme="majorBidi" w:hAnsiTheme="majorBidi" w:cstheme="majorBidi"/>
        </w:rPr>
        <w:t xml:space="preserve"> (Q1–Q3: 5.5–8.0). The majority </w:t>
      </w:r>
      <w:r w:rsidRPr="007C54CC">
        <w:rPr>
          <w:rFonts w:asciiTheme="majorBidi" w:hAnsiTheme="majorBidi" w:cstheme="majorBidi"/>
        </w:rPr>
        <w:lastRenderedPageBreak/>
        <w:t>were considered medication adherent (72.4%), while more than quarter were medication non–adherent (28</w:t>
      </w:r>
      <w:r>
        <w:rPr>
          <w:rFonts w:asciiTheme="majorBidi" w:hAnsiTheme="majorBidi" w:cstheme="majorBidi"/>
        </w:rPr>
        <w:t>.0</w:t>
      </w:r>
      <w:r w:rsidRPr="007C54CC">
        <w:rPr>
          <w:rFonts w:asciiTheme="majorBidi" w:hAnsiTheme="majorBidi" w:cstheme="majorBidi"/>
        </w:rPr>
        <w:t xml:space="preserve">%). Among MMAS–8 dimensions, 33.6% of the participants sometimes forgot to take their anti–diabetic medications; 25.2% did not take their medications for reasons other than forgetting on at least one occasion over the past two weeks before the interview; a small percentage of the participants stopped taking their medications without telling their doctor after feeling worse upon taking their medications (15.6%); </w:t>
      </w:r>
      <w:r>
        <w:rPr>
          <w:rFonts w:asciiTheme="majorBidi" w:hAnsiTheme="majorBidi" w:cstheme="majorBidi"/>
        </w:rPr>
        <w:t xml:space="preserve">Less than quarter of the </w:t>
      </w:r>
      <w:r w:rsidRPr="007C54CC">
        <w:rPr>
          <w:rFonts w:asciiTheme="majorBidi" w:hAnsiTheme="majorBidi" w:cstheme="majorBidi"/>
        </w:rPr>
        <w:t>participants sometimes forgot to take their medications with them when they travelled or left home</w:t>
      </w:r>
      <w:r>
        <w:rPr>
          <w:rFonts w:asciiTheme="majorBidi" w:hAnsiTheme="majorBidi" w:cstheme="majorBidi"/>
        </w:rPr>
        <w:t xml:space="preserve"> (21.2%)</w:t>
      </w:r>
      <w:r w:rsidRPr="007C54CC">
        <w:rPr>
          <w:rFonts w:asciiTheme="majorBidi" w:hAnsiTheme="majorBidi" w:cstheme="majorBidi"/>
        </w:rPr>
        <w:t xml:space="preserve">. The overwhelming majority of the participants took all their medications yesterday (i.e. on the day before the interview) (94.8%); 10.8% stopped taking their medications when they felt like their diabetes were under control; 39.6% felt hassled because of their treatment plans; and finally, 70% either rarely or never had difficulty in remembering to take all their medications at least once in a while (Table </w:t>
      </w:r>
      <w:r>
        <w:rPr>
          <w:rFonts w:asciiTheme="majorBidi" w:hAnsiTheme="majorBidi" w:cstheme="majorBidi"/>
        </w:rPr>
        <w:t>1</w:t>
      </w:r>
      <w:r w:rsidRPr="007C54CC">
        <w:rPr>
          <w:rFonts w:asciiTheme="majorBidi" w:hAnsiTheme="majorBidi" w:cstheme="majorBidi"/>
        </w:rPr>
        <w:t>).</w:t>
      </w:r>
    </w:p>
    <w:p w:rsidR="00B31827" w:rsidRPr="007C54CC" w:rsidRDefault="00B31827" w:rsidP="0024772F">
      <w:pPr>
        <w:spacing w:after="0" w:line="240" w:lineRule="auto"/>
        <w:ind w:firstLine="0"/>
        <w:rPr>
          <w:rFonts w:asciiTheme="majorBidi" w:hAnsiTheme="majorBidi" w:cstheme="majorBidi"/>
        </w:rPr>
      </w:pPr>
    </w:p>
    <w:p w:rsidR="00B31827" w:rsidRPr="00F667D3" w:rsidRDefault="00B31827" w:rsidP="00F667D3">
      <w:pPr>
        <w:pStyle w:val="Caption"/>
        <w:spacing w:after="0"/>
        <w:ind w:left="284" w:firstLine="0"/>
        <w:rPr>
          <w:rFonts w:asciiTheme="majorBidi" w:eastAsiaTheme="minorHAnsi" w:hAnsiTheme="majorBidi" w:cstheme="majorBidi"/>
          <w:color w:val="auto"/>
          <w:sz w:val="22"/>
          <w:szCs w:val="22"/>
        </w:rPr>
      </w:pPr>
      <w:bookmarkStart w:id="1" w:name="_Toc490040571"/>
      <w:bookmarkStart w:id="2" w:name="_Toc490733488"/>
      <w:r>
        <w:rPr>
          <w:b w:val="0"/>
          <w:bCs w:val="0"/>
          <w:color w:val="auto"/>
          <w:sz w:val="22"/>
          <w:szCs w:val="22"/>
        </w:rPr>
        <w:t xml:space="preserve"> </w:t>
      </w:r>
      <w:r w:rsidRPr="00DF207A">
        <w:rPr>
          <w:rFonts w:asciiTheme="majorBidi" w:eastAsiaTheme="minorHAnsi" w:hAnsiTheme="majorBidi" w:cstheme="majorBidi"/>
          <w:color w:val="auto"/>
          <w:sz w:val="22"/>
          <w:szCs w:val="22"/>
        </w:rPr>
        <w:t>Table 1:</w:t>
      </w:r>
      <w:bookmarkEnd w:id="1"/>
      <w:r w:rsidRPr="00DF207A">
        <w:rPr>
          <w:rFonts w:asciiTheme="majorBidi" w:eastAsiaTheme="minorHAnsi" w:hAnsiTheme="majorBidi" w:cstheme="majorBidi"/>
          <w:color w:val="auto"/>
          <w:sz w:val="22"/>
          <w:szCs w:val="22"/>
        </w:rPr>
        <w:t xml:space="preserve"> </w:t>
      </w:r>
      <w:r w:rsidRPr="00DF207A">
        <w:rPr>
          <w:rFonts w:asciiTheme="majorBidi" w:eastAsiaTheme="minorHAnsi" w:hAnsiTheme="majorBidi" w:cstheme="majorBidi"/>
          <w:b w:val="0"/>
          <w:bCs w:val="0"/>
          <w:color w:val="auto"/>
          <w:sz w:val="22"/>
          <w:szCs w:val="22"/>
        </w:rPr>
        <w:t>Self–reported medication adherence of participants (N=250)</w:t>
      </w:r>
      <w:bookmarkEnd w:id="2"/>
    </w:p>
    <w:tbl>
      <w:tblPr>
        <w:tblW w:w="0" w:type="auto"/>
        <w:jc w:val="center"/>
        <w:tblLook w:val="04A0" w:firstRow="1" w:lastRow="0" w:firstColumn="1" w:lastColumn="0" w:noHBand="0" w:noVBand="1"/>
      </w:tblPr>
      <w:tblGrid>
        <w:gridCol w:w="4050"/>
        <w:gridCol w:w="117"/>
        <w:gridCol w:w="4140"/>
      </w:tblGrid>
      <w:tr w:rsidR="00B31827" w:rsidTr="00F040EA">
        <w:trPr>
          <w:trHeight w:val="224"/>
          <w:tblHeader/>
          <w:jc w:val="center"/>
        </w:trPr>
        <w:tc>
          <w:tcPr>
            <w:tcW w:w="4050" w:type="dxa"/>
            <w:tcBorders>
              <w:top w:val="single" w:sz="4" w:space="0" w:color="auto"/>
              <w:left w:val="nil"/>
              <w:bottom w:val="single" w:sz="4" w:space="0" w:color="auto"/>
              <w:right w:val="nil"/>
            </w:tcBorders>
            <w:hideMark/>
          </w:tcPr>
          <w:p w:rsidR="00B31827" w:rsidRPr="00DF207A" w:rsidRDefault="00B31827" w:rsidP="00F040EA">
            <w:pPr>
              <w:spacing w:after="0" w:line="240" w:lineRule="auto"/>
              <w:ind w:left="1376" w:firstLine="0"/>
              <w:rPr>
                <w:b/>
                <w:sz w:val="18"/>
                <w:szCs w:val="18"/>
              </w:rPr>
            </w:pPr>
            <w:r w:rsidRPr="00DF207A">
              <w:rPr>
                <w:b/>
                <w:sz w:val="18"/>
                <w:szCs w:val="18"/>
              </w:rPr>
              <w:t>Item</w:t>
            </w:r>
          </w:p>
        </w:tc>
        <w:tc>
          <w:tcPr>
            <w:tcW w:w="4257" w:type="dxa"/>
            <w:gridSpan w:val="2"/>
            <w:tcBorders>
              <w:top w:val="single" w:sz="4" w:space="0" w:color="auto"/>
              <w:left w:val="nil"/>
              <w:bottom w:val="single" w:sz="4" w:space="0" w:color="auto"/>
              <w:right w:val="nil"/>
            </w:tcBorders>
            <w:hideMark/>
          </w:tcPr>
          <w:p w:rsidR="00B31827" w:rsidRPr="00DF207A" w:rsidRDefault="00B31827" w:rsidP="00B11514">
            <w:pPr>
              <w:spacing w:after="0" w:line="240" w:lineRule="auto"/>
              <w:ind w:left="661" w:firstLine="90"/>
              <w:rPr>
                <w:b/>
                <w:sz w:val="18"/>
                <w:szCs w:val="18"/>
              </w:rPr>
            </w:pPr>
            <w:r w:rsidRPr="00DF207A">
              <w:rPr>
                <w:b/>
                <w:sz w:val="18"/>
                <w:szCs w:val="18"/>
              </w:rPr>
              <w:t xml:space="preserve">Frequency (%) of </w:t>
            </w:r>
            <w:r>
              <w:rPr>
                <w:b/>
                <w:sz w:val="18"/>
                <w:szCs w:val="18"/>
              </w:rPr>
              <w:t>p</w:t>
            </w:r>
            <w:r w:rsidRPr="00DF207A">
              <w:rPr>
                <w:b/>
                <w:sz w:val="18"/>
                <w:szCs w:val="18"/>
              </w:rPr>
              <w:t xml:space="preserve">atients who </w:t>
            </w:r>
            <w:r>
              <w:rPr>
                <w:b/>
                <w:sz w:val="18"/>
                <w:szCs w:val="18"/>
              </w:rPr>
              <w:t>a</w:t>
            </w:r>
            <w:r w:rsidRPr="00DF207A">
              <w:rPr>
                <w:b/>
                <w:sz w:val="18"/>
                <w:szCs w:val="18"/>
              </w:rPr>
              <w:t xml:space="preserve">nswered    </w:t>
            </w:r>
          </w:p>
          <w:p w:rsidR="00B31827" w:rsidRDefault="00B31827" w:rsidP="00B11514">
            <w:pPr>
              <w:spacing w:after="0" w:line="240" w:lineRule="auto"/>
              <w:ind w:left="661" w:firstLine="90"/>
              <w:rPr>
                <w:bCs/>
                <w:sz w:val="18"/>
                <w:szCs w:val="18"/>
              </w:rPr>
            </w:pPr>
            <w:r w:rsidRPr="00DF207A">
              <w:rPr>
                <w:b/>
                <w:sz w:val="18"/>
                <w:szCs w:val="18"/>
              </w:rPr>
              <w:t xml:space="preserve">                        </w:t>
            </w:r>
            <w:r>
              <w:rPr>
                <w:b/>
                <w:sz w:val="18"/>
                <w:szCs w:val="18"/>
              </w:rPr>
              <w:t>y</w:t>
            </w:r>
            <w:r w:rsidRPr="00DF207A">
              <w:rPr>
                <w:b/>
                <w:sz w:val="18"/>
                <w:szCs w:val="18"/>
              </w:rPr>
              <w:t>es</w:t>
            </w:r>
            <w:r>
              <w:rPr>
                <w:bCs/>
                <w:sz w:val="18"/>
                <w:szCs w:val="18"/>
              </w:rPr>
              <w:t xml:space="preserve">  </w:t>
            </w:r>
          </w:p>
        </w:tc>
      </w:tr>
      <w:tr w:rsidR="00B31827" w:rsidTr="00F040EA">
        <w:trPr>
          <w:trHeight w:val="372"/>
          <w:jc w:val="center"/>
        </w:trPr>
        <w:tc>
          <w:tcPr>
            <w:tcW w:w="4167" w:type="dxa"/>
            <w:gridSpan w:val="2"/>
            <w:tcBorders>
              <w:top w:val="single" w:sz="4" w:space="0" w:color="auto"/>
              <w:left w:val="nil"/>
              <w:bottom w:val="nil"/>
              <w:right w:val="nil"/>
            </w:tcBorders>
            <w:hideMark/>
          </w:tcPr>
          <w:p w:rsidR="00B31827" w:rsidRDefault="00B31827" w:rsidP="00F040EA">
            <w:pPr>
              <w:spacing w:after="0" w:line="240" w:lineRule="auto"/>
              <w:ind w:left="142" w:firstLine="0"/>
              <w:rPr>
                <w:bCs/>
                <w:sz w:val="18"/>
                <w:szCs w:val="18"/>
              </w:rPr>
            </w:pPr>
            <w:r>
              <w:rPr>
                <w:bCs/>
                <w:sz w:val="18"/>
                <w:szCs w:val="18"/>
              </w:rPr>
              <w:t>Do you sometimes forget to take your (health concern) pills?</w:t>
            </w:r>
          </w:p>
        </w:tc>
        <w:tc>
          <w:tcPr>
            <w:tcW w:w="4140" w:type="dxa"/>
            <w:tcBorders>
              <w:top w:val="single" w:sz="4" w:space="0" w:color="auto"/>
              <w:left w:val="nil"/>
              <w:bottom w:val="nil"/>
              <w:right w:val="nil"/>
            </w:tcBorders>
            <w:hideMark/>
          </w:tcPr>
          <w:p w:rsidR="00B31827" w:rsidRDefault="00B31827" w:rsidP="00F040EA">
            <w:pPr>
              <w:spacing w:after="0" w:line="240" w:lineRule="auto"/>
              <w:ind w:left="1499" w:firstLine="0"/>
              <w:rPr>
                <w:sz w:val="18"/>
                <w:szCs w:val="18"/>
              </w:rPr>
            </w:pPr>
            <w:r>
              <w:rPr>
                <w:sz w:val="18"/>
                <w:szCs w:val="18"/>
              </w:rPr>
              <w:t>84 (33.6)</w:t>
            </w:r>
          </w:p>
        </w:tc>
      </w:tr>
      <w:tr w:rsidR="00B31827" w:rsidTr="00F040EA">
        <w:trPr>
          <w:trHeight w:val="816"/>
          <w:jc w:val="center"/>
        </w:trPr>
        <w:tc>
          <w:tcPr>
            <w:tcW w:w="4167" w:type="dxa"/>
            <w:gridSpan w:val="2"/>
            <w:hideMark/>
          </w:tcPr>
          <w:p w:rsidR="00B31827" w:rsidRDefault="00B31827" w:rsidP="00F040EA">
            <w:pPr>
              <w:spacing w:after="0" w:line="240" w:lineRule="auto"/>
              <w:ind w:left="142" w:firstLine="0"/>
              <w:rPr>
                <w:bCs/>
                <w:sz w:val="18"/>
                <w:szCs w:val="18"/>
              </w:rPr>
            </w:pPr>
            <w:r>
              <w:rPr>
                <w:bCs/>
                <w:sz w:val="18"/>
                <w:szCs w:val="18"/>
              </w:rPr>
              <w:t>People sometimes miss taking their medications for reasons other than forgetting. Thinking over the past two weeks, were there any days when did not take your (health concern) medicine?</w:t>
            </w:r>
          </w:p>
        </w:tc>
        <w:tc>
          <w:tcPr>
            <w:tcW w:w="4140" w:type="dxa"/>
            <w:hideMark/>
          </w:tcPr>
          <w:p w:rsidR="00B31827" w:rsidRDefault="00B31827" w:rsidP="00F040EA">
            <w:pPr>
              <w:spacing w:after="0" w:line="240" w:lineRule="auto"/>
              <w:ind w:left="1499" w:firstLine="0"/>
              <w:rPr>
                <w:sz w:val="18"/>
                <w:szCs w:val="18"/>
              </w:rPr>
            </w:pPr>
            <w:r>
              <w:rPr>
                <w:sz w:val="18"/>
                <w:szCs w:val="18"/>
              </w:rPr>
              <w:t>63 (25.2)</w:t>
            </w:r>
          </w:p>
        </w:tc>
      </w:tr>
      <w:tr w:rsidR="00B31827" w:rsidTr="00F040EA">
        <w:trPr>
          <w:jc w:val="center"/>
        </w:trPr>
        <w:tc>
          <w:tcPr>
            <w:tcW w:w="4167" w:type="dxa"/>
            <w:gridSpan w:val="2"/>
            <w:hideMark/>
          </w:tcPr>
          <w:p w:rsidR="00B31827" w:rsidRDefault="00B31827" w:rsidP="00F040EA">
            <w:pPr>
              <w:spacing w:after="0" w:line="240" w:lineRule="auto"/>
              <w:ind w:left="142" w:firstLine="0"/>
              <w:rPr>
                <w:bCs/>
                <w:sz w:val="18"/>
                <w:szCs w:val="18"/>
              </w:rPr>
            </w:pPr>
            <w:r>
              <w:rPr>
                <w:bCs/>
                <w:sz w:val="18"/>
                <w:szCs w:val="18"/>
              </w:rPr>
              <w:t>Have you ever cut back or stopped taking your medication without telling your doctor, because you felt worse when you took it?</w:t>
            </w:r>
          </w:p>
        </w:tc>
        <w:tc>
          <w:tcPr>
            <w:tcW w:w="4140" w:type="dxa"/>
            <w:hideMark/>
          </w:tcPr>
          <w:p w:rsidR="00B31827" w:rsidRDefault="00B31827" w:rsidP="00F040EA">
            <w:pPr>
              <w:spacing w:after="0" w:line="240" w:lineRule="auto"/>
              <w:ind w:left="1499" w:firstLine="0"/>
              <w:rPr>
                <w:sz w:val="18"/>
                <w:szCs w:val="18"/>
              </w:rPr>
            </w:pPr>
            <w:r>
              <w:rPr>
                <w:sz w:val="18"/>
                <w:szCs w:val="18"/>
              </w:rPr>
              <w:t>39 (15.6)</w:t>
            </w:r>
          </w:p>
        </w:tc>
      </w:tr>
      <w:tr w:rsidR="00B31827" w:rsidTr="00F040EA">
        <w:trPr>
          <w:trHeight w:val="319"/>
          <w:jc w:val="center"/>
        </w:trPr>
        <w:tc>
          <w:tcPr>
            <w:tcW w:w="4167" w:type="dxa"/>
            <w:gridSpan w:val="2"/>
            <w:hideMark/>
          </w:tcPr>
          <w:p w:rsidR="00B31827" w:rsidRDefault="00B31827" w:rsidP="00F040EA">
            <w:pPr>
              <w:spacing w:after="0" w:line="240" w:lineRule="auto"/>
              <w:ind w:left="142" w:firstLine="0"/>
              <w:rPr>
                <w:bCs/>
                <w:sz w:val="18"/>
                <w:szCs w:val="18"/>
              </w:rPr>
            </w:pPr>
            <w:r>
              <w:rPr>
                <w:bCs/>
                <w:sz w:val="18"/>
                <w:szCs w:val="18"/>
              </w:rPr>
              <w:t>When you travel or leave home, do you sometimes forget to bring along your (health concern) medication?</w:t>
            </w:r>
          </w:p>
        </w:tc>
        <w:tc>
          <w:tcPr>
            <w:tcW w:w="4140" w:type="dxa"/>
            <w:hideMark/>
          </w:tcPr>
          <w:p w:rsidR="00B31827" w:rsidRDefault="00B31827" w:rsidP="00F040EA">
            <w:pPr>
              <w:spacing w:after="0" w:line="240" w:lineRule="auto"/>
              <w:ind w:left="1499" w:firstLine="0"/>
              <w:rPr>
                <w:sz w:val="18"/>
                <w:szCs w:val="18"/>
              </w:rPr>
            </w:pPr>
            <w:r>
              <w:rPr>
                <w:sz w:val="18"/>
                <w:szCs w:val="18"/>
              </w:rPr>
              <w:t>53 (21.2)</w:t>
            </w:r>
          </w:p>
        </w:tc>
      </w:tr>
      <w:tr w:rsidR="00B31827" w:rsidTr="00F040EA">
        <w:trPr>
          <w:trHeight w:val="175"/>
          <w:jc w:val="center"/>
        </w:trPr>
        <w:tc>
          <w:tcPr>
            <w:tcW w:w="4167" w:type="dxa"/>
            <w:gridSpan w:val="2"/>
            <w:hideMark/>
          </w:tcPr>
          <w:p w:rsidR="00B31827" w:rsidRDefault="00B31827" w:rsidP="00F040EA">
            <w:pPr>
              <w:spacing w:after="0" w:line="240" w:lineRule="auto"/>
              <w:ind w:left="142" w:firstLine="0"/>
              <w:rPr>
                <w:bCs/>
                <w:sz w:val="18"/>
                <w:szCs w:val="18"/>
              </w:rPr>
            </w:pPr>
            <w:r>
              <w:rPr>
                <w:bCs/>
                <w:sz w:val="18"/>
                <w:szCs w:val="18"/>
              </w:rPr>
              <w:t>Did you take your (health concern) medicine yesterday?</w:t>
            </w:r>
          </w:p>
        </w:tc>
        <w:tc>
          <w:tcPr>
            <w:tcW w:w="4140" w:type="dxa"/>
            <w:hideMark/>
          </w:tcPr>
          <w:p w:rsidR="00B31827" w:rsidRDefault="00B31827" w:rsidP="00F040EA">
            <w:pPr>
              <w:spacing w:after="0" w:line="240" w:lineRule="auto"/>
              <w:ind w:left="1381" w:firstLine="0"/>
              <w:rPr>
                <w:sz w:val="18"/>
                <w:szCs w:val="18"/>
              </w:rPr>
            </w:pPr>
            <w:r>
              <w:rPr>
                <w:sz w:val="18"/>
                <w:szCs w:val="18"/>
              </w:rPr>
              <w:t>237 (94.8)</w:t>
            </w:r>
          </w:p>
        </w:tc>
      </w:tr>
      <w:tr w:rsidR="00B31827" w:rsidTr="00F040EA">
        <w:trPr>
          <w:trHeight w:val="319"/>
          <w:jc w:val="center"/>
        </w:trPr>
        <w:tc>
          <w:tcPr>
            <w:tcW w:w="4167" w:type="dxa"/>
            <w:gridSpan w:val="2"/>
            <w:hideMark/>
          </w:tcPr>
          <w:p w:rsidR="00B31827" w:rsidRDefault="00B31827" w:rsidP="00F040EA">
            <w:pPr>
              <w:spacing w:after="0" w:line="240" w:lineRule="auto"/>
              <w:ind w:left="142" w:firstLine="0"/>
              <w:rPr>
                <w:bCs/>
                <w:sz w:val="18"/>
                <w:szCs w:val="18"/>
              </w:rPr>
            </w:pPr>
            <w:r>
              <w:rPr>
                <w:bCs/>
                <w:sz w:val="18"/>
                <w:szCs w:val="18"/>
              </w:rPr>
              <w:t>When you feel like your (health concern) is under control, do you sometimes stop taking your medicine?</w:t>
            </w:r>
          </w:p>
        </w:tc>
        <w:tc>
          <w:tcPr>
            <w:tcW w:w="4140" w:type="dxa"/>
            <w:hideMark/>
          </w:tcPr>
          <w:p w:rsidR="00B31827" w:rsidRDefault="00B31827" w:rsidP="00F040EA">
            <w:pPr>
              <w:spacing w:after="0" w:line="240" w:lineRule="auto"/>
              <w:ind w:left="1499" w:firstLine="0"/>
              <w:rPr>
                <w:sz w:val="18"/>
                <w:szCs w:val="18"/>
              </w:rPr>
            </w:pPr>
            <w:r>
              <w:rPr>
                <w:sz w:val="18"/>
                <w:szCs w:val="18"/>
              </w:rPr>
              <w:t>27 (10.8)</w:t>
            </w:r>
          </w:p>
        </w:tc>
      </w:tr>
      <w:tr w:rsidR="00B31827" w:rsidTr="00F040EA">
        <w:trPr>
          <w:trHeight w:val="544"/>
          <w:jc w:val="center"/>
        </w:trPr>
        <w:tc>
          <w:tcPr>
            <w:tcW w:w="4167" w:type="dxa"/>
            <w:gridSpan w:val="2"/>
            <w:hideMark/>
          </w:tcPr>
          <w:p w:rsidR="00B31827" w:rsidRDefault="00B31827" w:rsidP="00F040EA">
            <w:pPr>
              <w:spacing w:after="0" w:line="240" w:lineRule="auto"/>
              <w:ind w:left="142" w:firstLine="0"/>
              <w:rPr>
                <w:bCs/>
                <w:sz w:val="18"/>
                <w:szCs w:val="18"/>
              </w:rPr>
            </w:pPr>
            <w:r>
              <w:rPr>
                <w:bCs/>
                <w:sz w:val="18"/>
                <w:szCs w:val="18"/>
              </w:rPr>
              <w:t>Taking medication every day is a real inconvenience for some people. Do you ever feel hassled about sticking to your (health concern) treatment plan?</w:t>
            </w:r>
          </w:p>
        </w:tc>
        <w:tc>
          <w:tcPr>
            <w:tcW w:w="4140" w:type="dxa"/>
            <w:hideMark/>
          </w:tcPr>
          <w:p w:rsidR="00B31827" w:rsidRDefault="00B31827" w:rsidP="00F040EA">
            <w:pPr>
              <w:spacing w:after="0" w:line="240" w:lineRule="auto"/>
              <w:ind w:left="1499" w:firstLine="0"/>
              <w:rPr>
                <w:sz w:val="18"/>
                <w:szCs w:val="18"/>
              </w:rPr>
            </w:pPr>
            <w:r>
              <w:rPr>
                <w:sz w:val="18"/>
                <w:szCs w:val="18"/>
              </w:rPr>
              <w:t>99 (39.6)</w:t>
            </w:r>
          </w:p>
        </w:tc>
      </w:tr>
      <w:tr w:rsidR="00B31827" w:rsidTr="00F040EA">
        <w:trPr>
          <w:jc w:val="center"/>
        </w:trPr>
        <w:tc>
          <w:tcPr>
            <w:tcW w:w="4167" w:type="dxa"/>
            <w:gridSpan w:val="2"/>
            <w:tcBorders>
              <w:top w:val="nil"/>
              <w:left w:val="nil"/>
              <w:bottom w:val="single" w:sz="4" w:space="0" w:color="auto"/>
              <w:right w:val="nil"/>
            </w:tcBorders>
            <w:hideMark/>
          </w:tcPr>
          <w:p w:rsidR="00B31827" w:rsidRDefault="00B31827" w:rsidP="00F040EA">
            <w:pPr>
              <w:spacing w:after="0" w:line="240" w:lineRule="auto"/>
              <w:ind w:left="142" w:firstLine="0"/>
              <w:rPr>
                <w:bCs/>
                <w:sz w:val="18"/>
                <w:szCs w:val="18"/>
              </w:rPr>
            </w:pPr>
            <w:r>
              <w:rPr>
                <w:bCs/>
                <w:sz w:val="18"/>
                <w:szCs w:val="18"/>
              </w:rPr>
              <w:t>How often do you have difficulty remembering to take all your medicine?</w:t>
            </w:r>
          </w:p>
          <w:p w:rsidR="00B31827" w:rsidRDefault="00B31827" w:rsidP="00F040EA">
            <w:pPr>
              <w:spacing w:after="0" w:line="240" w:lineRule="auto"/>
              <w:ind w:left="142"/>
              <w:rPr>
                <w:bCs/>
                <w:sz w:val="18"/>
                <w:szCs w:val="18"/>
              </w:rPr>
            </w:pPr>
            <w:r>
              <w:rPr>
                <w:bCs/>
                <w:sz w:val="18"/>
                <w:szCs w:val="18"/>
              </w:rPr>
              <w:t>Never/Rarely</w:t>
            </w:r>
          </w:p>
          <w:p w:rsidR="00B31827" w:rsidRDefault="00B31827" w:rsidP="00F040EA">
            <w:pPr>
              <w:spacing w:after="0" w:line="240" w:lineRule="auto"/>
              <w:ind w:left="142"/>
              <w:rPr>
                <w:bCs/>
                <w:sz w:val="18"/>
                <w:szCs w:val="18"/>
              </w:rPr>
            </w:pPr>
            <w:r>
              <w:rPr>
                <w:bCs/>
                <w:sz w:val="18"/>
                <w:szCs w:val="18"/>
              </w:rPr>
              <w:t>Once in a while</w:t>
            </w:r>
          </w:p>
          <w:p w:rsidR="00B31827" w:rsidRDefault="00B31827" w:rsidP="00F040EA">
            <w:pPr>
              <w:spacing w:after="0" w:line="240" w:lineRule="auto"/>
              <w:ind w:left="142"/>
              <w:rPr>
                <w:bCs/>
                <w:sz w:val="18"/>
                <w:szCs w:val="18"/>
              </w:rPr>
            </w:pPr>
            <w:r>
              <w:rPr>
                <w:bCs/>
                <w:sz w:val="18"/>
                <w:szCs w:val="18"/>
              </w:rPr>
              <w:t>Sometimes</w:t>
            </w:r>
          </w:p>
          <w:p w:rsidR="00B31827" w:rsidRDefault="00B31827" w:rsidP="00F040EA">
            <w:pPr>
              <w:spacing w:after="0" w:line="240" w:lineRule="auto"/>
              <w:ind w:left="142"/>
              <w:rPr>
                <w:bCs/>
                <w:sz w:val="18"/>
                <w:szCs w:val="18"/>
              </w:rPr>
            </w:pPr>
            <w:r>
              <w:rPr>
                <w:bCs/>
                <w:sz w:val="18"/>
                <w:szCs w:val="18"/>
              </w:rPr>
              <w:t>Usually</w:t>
            </w:r>
          </w:p>
          <w:p w:rsidR="00B31827" w:rsidRDefault="00B31827" w:rsidP="00F040EA">
            <w:pPr>
              <w:spacing w:after="0" w:line="240" w:lineRule="auto"/>
              <w:ind w:left="142"/>
              <w:rPr>
                <w:bCs/>
                <w:sz w:val="18"/>
                <w:szCs w:val="18"/>
              </w:rPr>
            </w:pPr>
            <w:r>
              <w:rPr>
                <w:bCs/>
                <w:sz w:val="18"/>
                <w:szCs w:val="18"/>
              </w:rPr>
              <w:t>All the time</w:t>
            </w:r>
          </w:p>
        </w:tc>
        <w:tc>
          <w:tcPr>
            <w:tcW w:w="4140" w:type="dxa"/>
            <w:tcBorders>
              <w:top w:val="nil"/>
              <w:left w:val="nil"/>
              <w:bottom w:val="single" w:sz="4" w:space="0" w:color="auto"/>
              <w:right w:val="nil"/>
            </w:tcBorders>
          </w:tcPr>
          <w:p w:rsidR="00B31827" w:rsidRDefault="00B31827" w:rsidP="00F040EA">
            <w:pPr>
              <w:spacing w:after="0" w:line="240" w:lineRule="auto"/>
              <w:ind w:left="651"/>
              <w:rPr>
                <w:sz w:val="18"/>
                <w:szCs w:val="18"/>
              </w:rPr>
            </w:pPr>
          </w:p>
          <w:p w:rsidR="00B31827" w:rsidRDefault="00B31827" w:rsidP="00F040EA">
            <w:pPr>
              <w:spacing w:after="0" w:line="240" w:lineRule="auto"/>
              <w:ind w:left="651"/>
              <w:rPr>
                <w:sz w:val="18"/>
                <w:szCs w:val="18"/>
              </w:rPr>
            </w:pPr>
          </w:p>
          <w:p w:rsidR="00B31827" w:rsidRDefault="00B31827" w:rsidP="00F040EA">
            <w:pPr>
              <w:spacing w:after="0" w:line="240" w:lineRule="auto"/>
              <w:ind w:left="1381" w:firstLine="0"/>
              <w:rPr>
                <w:sz w:val="18"/>
                <w:szCs w:val="18"/>
              </w:rPr>
            </w:pPr>
            <w:r>
              <w:rPr>
                <w:sz w:val="18"/>
                <w:szCs w:val="18"/>
              </w:rPr>
              <w:t>175 (70.0)</w:t>
            </w:r>
          </w:p>
          <w:p w:rsidR="00B31827" w:rsidRDefault="00B31827" w:rsidP="00F040EA">
            <w:pPr>
              <w:spacing w:after="0" w:line="240" w:lineRule="auto"/>
              <w:ind w:left="1499" w:firstLine="0"/>
              <w:rPr>
                <w:sz w:val="18"/>
                <w:szCs w:val="18"/>
              </w:rPr>
            </w:pPr>
            <w:r>
              <w:rPr>
                <w:sz w:val="18"/>
                <w:szCs w:val="18"/>
              </w:rPr>
              <w:t>27 (10.8)</w:t>
            </w:r>
          </w:p>
          <w:p w:rsidR="00B31827" w:rsidRDefault="00B31827" w:rsidP="00F040EA">
            <w:pPr>
              <w:spacing w:after="0" w:line="240" w:lineRule="auto"/>
              <w:ind w:left="1499" w:firstLine="0"/>
              <w:rPr>
                <w:sz w:val="18"/>
                <w:szCs w:val="18"/>
              </w:rPr>
            </w:pPr>
            <w:r>
              <w:rPr>
                <w:sz w:val="18"/>
                <w:szCs w:val="18"/>
              </w:rPr>
              <w:t>37 (14.8)</w:t>
            </w:r>
          </w:p>
          <w:p w:rsidR="00B31827" w:rsidRDefault="00B31827" w:rsidP="00F040EA">
            <w:pPr>
              <w:spacing w:after="0" w:line="240" w:lineRule="auto"/>
              <w:ind w:left="1561" w:firstLine="0"/>
              <w:rPr>
                <w:sz w:val="18"/>
                <w:szCs w:val="18"/>
              </w:rPr>
            </w:pPr>
            <w:r>
              <w:rPr>
                <w:sz w:val="18"/>
                <w:szCs w:val="18"/>
              </w:rPr>
              <w:t>4 (1.6)</w:t>
            </w:r>
          </w:p>
          <w:p w:rsidR="00B31827" w:rsidRDefault="00B31827" w:rsidP="00F040EA">
            <w:pPr>
              <w:spacing w:after="0" w:line="240" w:lineRule="auto"/>
              <w:ind w:left="1561" w:firstLine="4"/>
              <w:rPr>
                <w:sz w:val="18"/>
                <w:szCs w:val="18"/>
              </w:rPr>
            </w:pPr>
            <w:r>
              <w:rPr>
                <w:sz w:val="18"/>
                <w:szCs w:val="18"/>
              </w:rPr>
              <w:t>6 (2.8)</w:t>
            </w:r>
          </w:p>
        </w:tc>
      </w:tr>
    </w:tbl>
    <w:p w:rsidR="00B31827" w:rsidRDefault="00B31827" w:rsidP="0024772F">
      <w:pPr>
        <w:spacing w:after="0" w:line="240" w:lineRule="auto"/>
        <w:ind w:right="86" w:firstLine="0"/>
      </w:pPr>
    </w:p>
    <w:p w:rsidR="00B31827" w:rsidRPr="00156452" w:rsidRDefault="00B31827" w:rsidP="0024772F">
      <w:pPr>
        <w:spacing w:after="0" w:line="240" w:lineRule="auto"/>
        <w:ind w:firstLine="0"/>
        <w:rPr>
          <w:b/>
          <w:bCs/>
        </w:rPr>
      </w:pPr>
      <w:r w:rsidRPr="00156452">
        <w:rPr>
          <w:b/>
          <w:bCs/>
        </w:rPr>
        <w:t xml:space="preserve">Factors </w:t>
      </w:r>
      <w:r>
        <w:rPr>
          <w:b/>
          <w:bCs/>
        </w:rPr>
        <w:t>r</w:t>
      </w:r>
      <w:r w:rsidRPr="00156452">
        <w:rPr>
          <w:b/>
          <w:bCs/>
        </w:rPr>
        <w:t xml:space="preserve">elating to </w:t>
      </w:r>
      <w:r>
        <w:rPr>
          <w:b/>
          <w:bCs/>
        </w:rPr>
        <w:t>medication adherence</w:t>
      </w:r>
    </w:p>
    <w:p w:rsidR="00B31827" w:rsidRDefault="00B31827" w:rsidP="0024772F">
      <w:pPr>
        <w:spacing w:after="0" w:line="240" w:lineRule="auto"/>
        <w:ind w:firstLine="0"/>
        <w:rPr>
          <w:rFonts w:asciiTheme="majorBidi" w:hAnsiTheme="majorBidi" w:cstheme="majorBidi"/>
        </w:rPr>
      </w:pPr>
      <w:proofErr w:type="spellStart"/>
      <w:r>
        <w:rPr>
          <w:rFonts w:asciiTheme="majorBidi" w:hAnsiTheme="majorBidi" w:cstheme="majorBidi"/>
        </w:rPr>
        <w:t>Univariate</w:t>
      </w:r>
      <w:proofErr w:type="spellEnd"/>
      <w:r>
        <w:rPr>
          <w:rFonts w:asciiTheme="majorBidi" w:hAnsiTheme="majorBidi" w:cstheme="majorBidi"/>
        </w:rPr>
        <w:t xml:space="preserve"> analysis of factors related to medication adherence showed that gender and diabetes duration were significantly related to medication adherence (Table 2). </w:t>
      </w:r>
      <w:r w:rsidRPr="0031176F">
        <w:rPr>
          <w:rFonts w:asciiTheme="majorBidi" w:hAnsiTheme="majorBidi" w:cstheme="majorBidi"/>
        </w:rPr>
        <w:t xml:space="preserve">Female participants were less likely to be </w:t>
      </w:r>
      <w:r w:rsidRPr="00A34421">
        <w:rPr>
          <w:rFonts w:asciiTheme="majorBidi" w:hAnsiTheme="majorBidi" w:cstheme="majorBidi"/>
        </w:rPr>
        <w:t>medication</w:t>
      </w:r>
      <w:r>
        <w:rPr>
          <w:rFonts w:asciiTheme="majorBidi" w:hAnsiTheme="majorBidi" w:cstheme="majorBidi"/>
        </w:rPr>
        <w:t xml:space="preserve"> </w:t>
      </w:r>
      <w:r w:rsidRPr="0031176F">
        <w:rPr>
          <w:rFonts w:asciiTheme="majorBidi" w:hAnsiTheme="majorBidi" w:cstheme="majorBidi"/>
        </w:rPr>
        <w:t xml:space="preserve">adherent ([O.R=0.4; 95% C.I of 0.2–0.7]). Participants with long </w:t>
      </w:r>
      <w:r w:rsidRPr="00A34421">
        <w:rPr>
          <w:rFonts w:asciiTheme="majorBidi" w:hAnsiTheme="majorBidi" w:cstheme="majorBidi"/>
        </w:rPr>
        <w:t>diabetes duration</w:t>
      </w:r>
      <w:r w:rsidRPr="0031176F">
        <w:rPr>
          <w:rFonts w:asciiTheme="majorBidi" w:hAnsiTheme="majorBidi" w:cstheme="majorBidi"/>
        </w:rPr>
        <w:t xml:space="preserve"> were more likely to be </w:t>
      </w:r>
      <w:r w:rsidRPr="00A34421">
        <w:rPr>
          <w:rFonts w:asciiTheme="majorBidi" w:hAnsiTheme="majorBidi" w:cstheme="majorBidi"/>
        </w:rPr>
        <w:t>medication</w:t>
      </w:r>
      <w:r>
        <w:rPr>
          <w:rFonts w:asciiTheme="majorBidi" w:hAnsiTheme="majorBidi" w:cstheme="majorBidi"/>
        </w:rPr>
        <w:t xml:space="preserve"> </w:t>
      </w:r>
      <w:r w:rsidRPr="0031176F">
        <w:rPr>
          <w:rFonts w:asciiTheme="majorBidi" w:hAnsiTheme="majorBidi" w:cstheme="majorBidi"/>
        </w:rPr>
        <w:t>adherent ([O.R=1.05; 95% C.I of 1.00–1.10]).</w:t>
      </w:r>
      <w:r>
        <w:rPr>
          <w:rFonts w:asciiTheme="majorBidi" w:hAnsiTheme="majorBidi" w:cstheme="majorBidi"/>
        </w:rPr>
        <w:t xml:space="preserve"> According to the multivariate analysis (Table 3), both gender and diabetes duration </w:t>
      </w:r>
      <w:r w:rsidR="00A7537F">
        <w:rPr>
          <w:rFonts w:asciiTheme="majorBidi" w:hAnsiTheme="majorBidi" w:cstheme="majorBidi"/>
        </w:rPr>
        <w:t>was</w:t>
      </w:r>
      <w:r>
        <w:rPr>
          <w:rFonts w:asciiTheme="majorBidi" w:hAnsiTheme="majorBidi" w:cstheme="majorBidi"/>
        </w:rPr>
        <w:t xml:space="preserve"> still significantly related to medication adherence. Female participants were significantly related to decreased odds of medication adherence. F</w:t>
      </w:r>
      <w:r w:rsidRPr="0031176F">
        <w:rPr>
          <w:rFonts w:asciiTheme="majorBidi" w:hAnsiTheme="majorBidi" w:cstheme="majorBidi"/>
        </w:rPr>
        <w:t xml:space="preserve">emale participants were less likely to be </w:t>
      </w:r>
      <w:r w:rsidRPr="00A34421">
        <w:rPr>
          <w:rFonts w:asciiTheme="majorBidi" w:hAnsiTheme="majorBidi" w:cstheme="majorBidi"/>
        </w:rPr>
        <w:t>medication adherent</w:t>
      </w:r>
      <w:r w:rsidRPr="0031176F">
        <w:rPr>
          <w:rFonts w:asciiTheme="majorBidi" w:hAnsiTheme="majorBidi" w:cstheme="majorBidi"/>
        </w:rPr>
        <w:t xml:space="preserve"> ([O.R=0.40; 95% C.I of 0.22–0.72])</w:t>
      </w:r>
      <w:r>
        <w:rPr>
          <w:rFonts w:asciiTheme="majorBidi" w:hAnsiTheme="majorBidi" w:cstheme="majorBidi"/>
        </w:rPr>
        <w:t xml:space="preserve"> in comparison to male participants. Longer diabetes duration was significantly </w:t>
      </w:r>
      <w:r w:rsidRPr="0031176F">
        <w:rPr>
          <w:rFonts w:asciiTheme="majorBidi" w:hAnsiTheme="majorBidi" w:cstheme="majorBidi"/>
        </w:rPr>
        <w:t xml:space="preserve">related to increased odds of </w:t>
      </w:r>
      <w:r w:rsidRPr="00A34421">
        <w:rPr>
          <w:rFonts w:asciiTheme="majorBidi" w:hAnsiTheme="majorBidi" w:cstheme="majorBidi"/>
        </w:rPr>
        <w:t>medication adheren</w:t>
      </w:r>
      <w:r>
        <w:rPr>
          <w:rFonts w:asciiTheme="majorBidi" w:hAnsiTheme="majorBidi" w:cstheme="majorBidi"/>
        </w:rPr>
        <w:t>ce</w:t>
      </w:r>
      <w:r w:rsidRPr="0031176F">
        <w:rPr>
          <w:rFonts w:asciiTheme="majorBidi" w:hAnsiTheme="majorBidi" w:cstheme="majorBidi"/>
        </w:rPr>
        <w:t>.</w:t>
      </w:r>
      <w:r>
        <w:rPr>
          <w:rFonts w:asciiTheme="majorBidi" w:hAnsiTheme="majorBidi" w:cstheme="majorBidi"/>
        </w:rPr>
        <w:t xml:space="preserve"> Participants diagnosed with type 2 diabetes for a longer time (i.e. higher number of years) </w:t>
      </w:r>
      <w:r w:rsidRPr="0031176F">
        <w:rPr>
          <w:rFonts w:asciiTheme="majorBidi" w:hAnsiTheme="majorBidi" w:cstheme="majorBidi"/>
        </w:rPr>
        <w:t xml:space="preserve">were more likely to be </w:t>
      </w:r>
      <w:r w:rsidRPr="00A34421">
        <w:rPr>
          <w:rFonts w:asciiTheme="majorBidi" w:hAnsiTheme="majorBidi" w:cstheme="majorBidi"/>
        </w:rPr>
        <w:t>medication adherent</w:t>
      </w:r>
      <w:r>
        <w:rPr>
          <w:rFonts w:asciiTheme="majorBidi" w:hAnsiTheme="majorBidi" w:cstheme="majorBidi"/>
        </w:rPr>
        <w:t xml:space="preserve"> </w:t>
      </w:r>
      <w:r w:rsidRPr="0031176F">
        <w:rPr>
          <w:rFonts w:asciiTheme="majorBidi" w:hAnsiTheme="majorBidi" w:cstheme="majorBidi"/>
        </w:rPr>
        <w:t>([O.R</w:t>
      </w:r>
      <w:r>
        <w:rPr>
          <w:rFonts w:asciiTheme="majorBidi" w:hAnsiTheme="majorBidi" w:cstheme="majorBidi"/>
        </w:rPr>
        <w:t>=1.05; 95% C.I of 1.01–1.10]).</w:t>
      </w:r>
    </w:p>
    <w:p w:rsidR="00B31827" w:rsidRPr="000D63A5" w:rsidRDefault="00B31827" w:rsidP="00B11514">
      <w:pPr>
        <w:pStyle w:val="Caption"/>
        <w:spacing w:after="0"/>
        <w:ind w:left="-142" w:firstLine="0"/>
        <w:rPr>
          <w:rFonts w:asciiTheme="majorBidi" w:eastAsiaTheme="minorHAnsi" w:hAnsiTheme="majorBidi" w:cstheme="majorBidi"/>
          <w:b w:val="0"/>
          <w:bCs w:val="0"/>
          <w:color w:val="auto"/>
          <w:sz w:val="22"/>
          <w:szCs w:val="22"/>
        </w:rPr>
      </w:pPr>
      <w:bookmarkStart w:id="3" w:name="_Toc490040578"/>
      <w:bookmarkStart w:id="4" w:name="_Toc490733495"/>
      <w:r w:rsidRPr="00DF207A">
        <w:rPr>
          <w:color w:val="auto"/>
          <w:sz w:val="22"/>
          <w:szCs w:val="22"/>
        </w:rPr>
        <w:lastRenderedPageBreak/>
        <w:t>Table 2:</w:t>
      </w:r>
      <w:bookmarkEnd w:id="3"/>
      <w:r w:rsidRPr="009242AB">
        <w:rPr>
          <w:b w:val="0"/>
          <w:bCs w:val="0"/>
          <w:color w:val="auto"/>
          <w:sz w:val="22"/>
          <w:szCs w:val="22"/>
        </w:rPr>
        <w:t xml:space="preserve"> </w:t>
      </w:r>
      <w:proofErr w:type="spellStart"/>
      <w:r w:rsidRPr="00DF207A">
        <w:rPr>
          <w:rFonts w:asciiTheme="majorBidi" w:eastAsiaTheme="minorHAnsi" w:hAnsiTheme="majorBidi" w:cstheme="majorBidi"/>
          <w:b w:val="0"/>
          <w:bCs w:val="0"/>
          <w:color w:val="auto"/>
          <w:sz w:val="22"/>
          <w:szCs w:val="22"/>
        </w:rPr>
        <w:t>Univariate</w:t>
      </w:r>
      <w:proofErr w:type="spellEnd"/>
      <w:r w:rsidRPr="00DF207A">
        <w:rPr>
          <w:rFonts w:asciiTheme="majorBidi" w:eastAsiaTheme="minorHAnsi" w:hAnsiTheme="majorBidi" w:cstheme="majorBidi"/>
          <w:b w:val="0"/>
          <w:bCs w:val="0"/>
          <w:color w:val="auto"/>
          <w:sz w:val="22"/>
          <w:szCs w:val="22"/>
        </w:rPr>
        <w:t xml:space="preserve"> </w:t>
      </w:r>
      <w:r>
        <w:rPr>
          <w:rFonts w:asciiTheme="majorBidi" w:eastAsiaTheme="minorHAnsi" w:hAnsiTheme="majorBidi" w:cstheme="majorBidi"/>
          <w:b w:val="0"/>
          <w:bCs w:val="0"/>
          <w:color w:val="auto"/>
          <w:sz w:val="22"/>
          <w:szCs w:val="22"/>
        </w:rPr>
        <w:t>a</w:t>
      </w:r>
      <w:r w:rsidRPr="00DF207A">
        <w:rPr>
          <w:rFonts w:asciiTheme="majorBidi" w:eastAsiaTheme="minorHAnsi" w:hAnsiTheme="majorBidi" w:cstheme="majorBidi"/>
          <w:b w:val="0"/>
          <w:bCs w:val="0"/>
          <w:color w:val="auto"/>
          <w:sz w:val="22"/>
          <w:szCs w:val="22"/>
        </w:rPr>
        <w:t xml:space="preserve">nalysis of </w:t>
      </w:r>
      <w:r>
        <w:rPr>
          <w:rFonts w:asciiTheme="majorBidi" w:eastAsiaTheme="minorHAnsi" w:hAnsiTheme="majorBidi" w:cstheme="majorBidi"/>
          <w:b w:val="0"/>
          <w:bCs w:val="0"/>
          <w:color w:val="auto"/>
          <w:sz w:val="22"/>
          <w:szCs w:val="22"/>
        </w:rPr>
        <w:t>f</w:t>
      </w:r>
      <w:r w:rsidRPr="00DF207A">
        <w:rPr>
          <w:rFonts w:asciiTheme="majorBidi" w:eastAsiaTheme="minorHAnsi" w:hAnsiTheme="majorBidi" w:cstheme="majorBidi"/>
          <w:b w:val="0"/>
          <w:bCs w:val="0"/>
          <w:color w:val="auto"/>
          <w:sz w:val="22"/>
          <w:szCs w:val="22"/>
        </w:rPr>
        <w:t xml:space="preserve">actors </w:t>
      </w:r>
      <w:r>
        <w:rPr>
          <w:rFonts w:asciiTheme="majorBidi" w:eastAsiaTheme="minorHAnsi" w:hAnsiTheme="majorBidi" w:cstheme="majorBidi"/>
          <w:b w:val="0"/>
          <w:bCs w:val="0"/>
          <w:color w:val="auto"/>
          <w:sz w:val="22"/>
          <w:szCs w:val="22"/>
        </w:rPr>
        <w:t>r</w:t>
      </w:r>
      <w:r w:rsidRPr="00DF207A">
        <w:rPr>
          <w:rFonts w:asciiTheme="majorBidi" w:eastAsiaTheme="minorHAnsi" w:hAnsiTheme="majorBidi" w:cstheme="majorBidi"/>
          <w:b w:val="0"/>
          <w:bCs w:val="0"/>
          <w:color w:val="auto"/>
          <w:sz w:val="22"/>
          <w:szCs w:val="22"/>
        </w:rPr>
        <w:t xml:space="preserve">elated to </w:t>
      </w:r>
      <w:r>
        <w:rPr>
          <w:rFonts w:asciiTheme="majorBidi" w:eastAsiaTheme="minorHAnsi" w:hAnsiTheme="majorBidi" w:cstheme="majorBidi"/>
          <w:b w:val="0"/>
          <w:bCs w:val="0"/>
          <w:color w:val="auto"/>
          <w:sz w:val="22"/>
          <w:szCs w:val="22"/>
        </w:rPr>
        <w:t>m</w:t>
      </w:r>
      <w:r w:rsidRPr="00DF207A">
        <w:rPr>
          <w:rFonts w:asciiTheme="majorBidi" w:eastAsiaTheme="minorHAnsi" w:hAnsiTheme="majorBidi" w:cstheme="majorBidi"/>
          <w:b w:val="0"/>
          <w:bCs w:val="0"/>
          <w:color w:val="auto"/>
          <w:sz w:val="22"/>
          <w:szCs w:val="22"/>
        </w:rPr>
        <w:t xml:space="preserve">edication </w:t>
      </w:r>
      <w:r>
        <w:rPr>
          <w:rFonts w:asciiTheme="majorBidi" w:eastAsiaTheme="minorHAnsi" w:hAnsiTheme="majorBidi" w:cstheme="majorBidi"/>
          <w:b w:val="0"/>
          <w:bCs w:val="0"/>
          <w:color w:val="auto"/>
          <w:sz w:val="22"/>
          <w:szCs w:val="22"/>
        </w:rPr>
        <w:t>a</w:t>
      </w:r>
      <w:r w:rsidRPr="00DF207A">
        <w:rPr>
          <w:rFonts w:asciiTheme="majorBidi" w:eastAsiaTheme="minorHAnsi" w:hAnsiTheme="majorBidi" w:cstheme="majorBidi"/>
          <w:b w:val="0"/>
          <w:bCs w:val="0"/>
          <w:color w:val="auto"/>
          <w:sz w:val="22"/>
          <w:szCs w:val="22"/>
        </w:rPr>
        <w:t>dherence</w:t>
      </w:r>
      <w:bookmarkEnd w:id="4"/>
    </w:p>
    <w:tbl>
      <w:tblPr>
        <w:tblW w:w="8460" w:type="dxa"/>
        <w:tblInd w:w="-90" w:type="dxa"/>
        <w:tblLayout w:type="fixed"/>
        <w:tblLook w:val="04A0" w:firstRow="1" w:lastRow="0" w:firstColumn="1" w:lastColumn="0" w:noHBand="0" w:noVBand="1"/>
      </w:tblPr>
      <w:tblGrid>
        <w:gridCol w:w="1710"/>
        <w:gridCol w:w="1440"/>
        <w:gridCol w:w="1440"/>
        <w:gridCol w:w="1260"/>
        <w:gridCol w:w="90"/>
        <w:gridCol w:w="1710"/>
        <w:gridCol w:w="810"/>
      </w:tblGrid>
      <w:tr w:rsidR="00B31827" w:rsidTr="00F040EA">
        <w:trPr>
          <w:trHeight w:val="615"/>
          <w:tblHeader/>
        </w:trPr>
        <w:tc>
          <w:tcPr>
            <w:tcW w:w="1710" w:type="dxa"/>
            <w:tcBorders>
              <w:top w:val="single" w:sz="4" w:space="0" w:color="auto"/>
              <w:left w:val="nil"/>
              <w:bottom w:val="single" w:sz="4" w:space="0" w:color="auto"/>
              <w:right w:val="nil"/>
            </w:tcBorders>
            <w:hideMark/>
          </w:tcPr>
          <w:p w:rsidR="00B31827" w:rsidRPr="00DF207A" w:rsidRDefault="00B31827" w:rsidP="00F040EA">
            <w:pPr>
              <w:spacing w:after="0" w:line="240" w:lineRule="auto"/>
              <w:ind w:left="72" w:firstLine="0"/>
              <w:rPr>
                <w:b/>
                <w:sz w:val="18"/>
                <w:szCs w:val="18"/>
              </w:rPr>
            </w:pPr>
            <w:r w:rsidRPr="00DF207A">
              <w:rPr>
                <w:b/>
                <w:sz w:val="18"/>
                <w:szCs w:val="18"/>
              </w:rPr>
              <w:t>Variable</w:t>
            </w:r>
          </w:p>
        </w:tc>
        <w:tc>
          <w:tcPr>
            <w:tcW w:w="1440" w:type="dxa"/>
            <w:tcBorders>
              <w:top w:val="single" w:sz="4" w:space="0" w:color="auto"/>
              <w:left w:val="nil"/>
              <w:bottom w:val="single" w:sz="4" w:space="0" w:color="auto"/>
              <w:right w:val="nil"/>
            </w:tcBorders>
          </w:tcPr>
          <w:p w:rsidR="00B31827" w:rsidRPr="00DF207A" w:rsidRDefault="00B31827" w:rsidP="00F040EA">
            <w:pPr>
              <w:spacing w:after="0" w:line="240" w:lineRule="auto"/>
              <w:ind w:left="-18" w:firstLine="0"/>
              <w:rPr>
                <w:b/>
                <w:sz w:val="18"/>
                <w:szCs w:val="18"/>
              </w:rPr>
            </w:pPr>
            <w:r w:rsidRPr="00DF207A">
              <w:rPr>
                <w:b/>
                <w:sz w:val="18"/>
                <w:szCs w:val="18"/>
              </w:rPr>
              <w:t>Frequency (%)</w:t>
            </w:r>
          </w:p>
          <w:p w:rsidR="00B31827" w:rsidRPr="00DF207A" w:rsidRDefault="00B31827" w:rsidP="00F040EA">
            <w:pPr>
              <w:spacing w:after="0" w:line="240" w:lineRule="auto"/>
              <w:ind w:left="158" w:firstLine="0"/>
              <w:rPr>
                <w:b/>
                <w:sz w:val="18"/>
                <w:szCs w:val="18"/>
              </w:rPr>
            </w:pPr>
          </w:p>
          <w:p w:rsidR="00B31827" w:rsidRPr="00DF207A" w:rsidRDefault="00B31827" w:rsidP="00F040EA">
            <w:pPr>
              <w:spacing w:after="0" w:line="240" w:lineRule="auto"/>
              <w:ind w:left="158" w:firstLine="0"/>
              <w:rPr>
                <w:b/>
                <w:sz w:val="18"/>
                <w:szCs w:val="18"/>
              </w:rPr>
            </w:pPr>
            <w:r w:rsidRPr="00DF207A">
              <w:rPr>
                <w:b/>
                <w:sz w:val="18"/>
                <w:szCs w:val="18"/>
              </w:rPr>
              <w:t>N=250</w:t>
            </w:r>
          </w:p>
        </w:tc>
        <w:tc>
          <w:tcPr>
            <w:tcW w:w="1440" w:type="dxa"/>
            <w:tcBorders>
              <w:top w:val="single" w:sz="4" w:space="0" w:color="auto"/>
              <w:left w:val="nil"/>
              <w:bottom w:val="single" w:sz="4" w:space="0" w:color="auto"/>
              <w:right w:val="nil"/>
            </w:tcBorders>
            <w:hideMark/>
          </w:tcPr>
          <w:p w:rsidR="00B31827" w:rsidRPr="00DF207A" w:rsidRDefault="00B31827" w:rsidP="00F040EA">
            <w:pPr>
              <w:spacing w:after="0" w:line="240" w:lineRule="auto"/>
              <w:ind w:firstLine="0"/>
              <w:rPr>
                <w:b/>
                <w:sz w:val="18"/>
                <w:szCs w:val="18"/>
              </w:rPr>
            </w:pPr>
            <w:r w:rsidRPr="00DF207A">
              <w:rPr>
                <w:b/>
                <w:sz w:val="18"/>
                <w:szCs w:val="18"/>
              </w:rPr>
              <w:t xml:space="preserve">Adherent </w:t>
            </w:r>
          </w:p>
          <w:p w:rsidR="00B31827" w:rsidRPr="00DF207A" w:rsidRDefault="00B31827" w:rsidP="00F040EA">
            <w:pPr>
              <w:spacing w:after="0" w:line="240" w:lineRule="auto"/>
              <w:ind w:left="64" w:firstLine="0"/>
              <w:rPr>
                <w:b/>
                <w:sz w:val="18"/>
                <w:szCs w:val="18"/>
              </w:rPr>
            </w:pPr>
            <w:r w:rsidRPr="00DF207A">
              <w:rPr>
                <w:b/>
                <w:sz w:val="18"/>
                <w:szCs w:val="18"/>
              </w:rPr>
              <w:t>N=181</w:t>
            </w:r>
          </w:p>
          <w:p w:rsidR="00B31827" w:rsidRPr="00DF207A" w:rsidRDefault="00B31827" w:rsidP="00F040EA">
            <w:pPr>
              <w:spacing w:after="0" w:line="240" w:lineRule="auto"/>
              <w:ind w:left="64" w:firstLine="0"/>
              <w:rPr>
                <w:b/>
                <w:sz w:val="18"/>
                <w:szCs w:val="18"/>
              </w:rPr>
            </w:pPr>
            <w:r w:rsidRPr="00DF207A">
              <w:rPr>
                <w:b/>
                <w:sz w:val="18"/>
                <w:szCs w:val="18"/>
              </w:rPr>
              <w:t>(72.4%)</w:t>
            </w:r>
          </w:p>
        </w:tc>
        <w:tc>
          <w:tcPr>
            <w:tcW w:w="1260" w:type="dxa"/>
            <w:tcBorders>
              <w:top w:val="single" w:sz="4" w:space="0" w:color="auto"/>
              <w:left w:val="nil"/>
              <w:bottom w:val="single" w:sz="4" w:space="0" w:color="auto"/>
              <w:right w:val="nil"/>
            </w:tcBorders>
            <w:hideMark/>
          </w:tcPr>
          <w:p w:rsidR="00B31827" w:rsidRPr="00DF207A" w:rsidRDefault="00B31827" w:rsidP="00B11514">
            <w:pPr>
              <w:spacing w:after="0" w:line="240" w:lineRule="auto"/>
              <w:ind w:left="-120" w:firstLine="0"/>
              <w:rPr>
                <w:b/>
                <w:sz w:val="18"/>
                <w:szCs w:val="18"/>
              </w:rPr>
            </w:pPr>
            <w:r w:rsidRPr="00DF207A">
              <w:rPr>
                <w:b/>
                <w:sz w:val="18"/>
                <w:szCs w:val="18"/>
              </w:rPr>
              <w:t>Non–</w:t>
            </w:r>
            <w:r>
              <w:rPr>
                <w:b/>
                <w:sz w:val="18"/>
                <w:szCs w:val="18"/>
              </w:rPr>
              <w:t>a</w:t>
            </w:r>
            <w:r w:rsidRPr="00DF207A">
              <w:rPr>
                <w:b/>
                <w:sz w:val="18"/>
                <w:szCs w:val="18"/>
              </w:rPr>
              <w:t xml:space="preserve">dherent </w:t>
            </w:r>
          </w:p>
          <w:p w:rsidR="00B31827" w:rsidRPr="00DF207A" w:rsidRDefault="00B31827" w:rsidP="00F040EA">
            <w:pPr>
              <w:spacing w:after="0" w:line="240" w:lineRule="auto"/>
              <w:ind w:left="72" w:firstLine="0"/>
              <w:rPr>
                <w:b/>
                <w:sz w:val="18"/>
                <w:szCs w:val="18"/>
              </w:rPr>
            </w:pPr>
            <w:r w:rsidRPr="00DF207A">
              <w:rPr>
                <w:b/>
                <w:sz w:val="18"/>
                <w:szCs w:val="18"/>
              </w:rPr>
              <w:t>N=69</w:t>
            </w:r>
          </w:p>
          <w:p w:rsidR="00B31827" w:rsidRPr="00DF207A" w:rsidRDefault="00B31827" w:rsidP="00F040EA">
            <w:pPr>
              <w:spacing w:after="0" w:line="240" w:lineRule="auto"/>
              <w:ind w:left="72" w:firstLine="0"/>
              <w:rPr>
                <w:b/>
                <w:sz w:val="18"/>
                <w:szCs w:val="18"/>
              </w:rPr>
            </w:pPr>
            <w:r w:rsidRPr="00DF207A">
              <w:rPr>
                <w:b/>
                <w:sz w:val="18"/>
                <w:szCs w:val="18"/>
              </w:rPr>
              <w:t>(27.6%)</w:t>
            </w:r>
          </w:p>
        </w:tc>
        <w:tc>
          <w:tcPr>
            <w:tcW w:w="1800" w:type="dxa"/>
            <w:gridSpan w:val="2"/>
            <w:tcBorders>
              <w:top w:val="single" w:sz="4" w:space="0" w:color="auto"/>
              <w:left w:val="nil"/>
              <w:bottom w:val="single" w:sz="4" w:space="0" w:color="auto"/>
              <w:right w:val="nil"/>
            </w:tcBorders>
          </w:tcPr>
          <w:p w:rsidR="00B31827" w:rsidRPr="00DF207A" w:rsidRDefault="00B31827" w:rsidP="00B11514">
            <w:pPr>
              <w:spacing w:after="0" w:line="240" w:lineRule="auto"/>
              <w:ind w:left="270" w:firstLine="0"/>
              <w:jc w:val="left"/>
              <w:rPr>
                <w:b/>
                <w:sz w:val="18"/>
                <w:szCs w:val="18"/>
              </w:rPr>
            </w:pPr>
            <w:r w:rsidRPr="00DF207A">
              <w:rPr>
                <w:b/>
                <w:sz w:val="18"/>
                <w:szCs w:val="18"/>
              </w:rPr>
              <w:t xml:space="preserve">Odds </w:t>
            </w:r>
            <w:r>
              <w:rPr>
                <w:b/>
                <w:sz w:val="18"/>
                <w:szCs w:val="18"/>
              </w:rPr>
              <w:t>r</w:t>
            </w:r>
            <w:r w:rsidRPr="00DF207A">
              <w:rPr>
                <w:b/>
                <w:sz w:val="18"/>
                <w:szCs w:val="18"/>
              </w:rPr>
              <w:t xml:space="preserve">atio with  </w:t>
            </w:r>
          </w:p>
          <w:p w:rsidR="00B31827" w:rsidRPr="00DF207A" w:rsidRDefault="00B31827" w:rsidP="00F040EA">
            <w:pPr>
              <w:spacing w:after="0" w:line="240" w:lineRule="auto"/>
              <w:ind w:left="360" w:firstLine="0"/>
              <w:jc w:val="left"/>
              <w:rPr>
                <w:b/>
                <w:sz w:val="18"/>
                <w:szCs w:val="18"/>
              </w:rPr>
            </w:pPr>
            <w:r w:rsidRPr="00DF207A">
              <w:rPr>
                <w:b/>
                <w:sz w:val="18"/>
                <w:szCs w:val="18"/>
              </w:rPr>
              <w:t xml:space="preserve">     95% C.I </w:t>
            </w:r>
          </w:p>
          <w:p w:rsidR="00B31827" w:rsidRPr="00DF207A" w:rsidRDefault="00B31827" w:rsidP="00F040EA">
            <w:pPr>
              <w:spacing w:after="0" w:line="240" w:lineRule="auto"/>
              <w:ind w:firstLine="0"/>
              <w:rPr>
                <w:b/>
                <w:sz w:val="18"/>
                <w:szCs w:val="18"/>
              </w:rPr>
            </w:pPr>
            <w:r w:rsidRPr="00DF207A">
              <w:rPr>
                <w:b/>
                <w:sz w:val="18"/>
                <w:szCs w:val="18"/>
              </w:rPr>
              <w:t xml:space="preserve">               </w:t>
            </w:r>
          </w:p>
        </w:tc>
        <w:tc>
          <w:tcPr>
            <w:tcW w:w="810" w:type="dxa"/>
            <w:tcBorders>
              <w:top w:val="single" w:sz="4" w:space="0" w:color="auto"/>
              <w:left w:val="nil"/>
              <w:bottom w:val="single" w:sz="4" w:space="0" w:color="auto"/>
              <w:right w:val="nil"/>
            </w:tcBorders>
            <w:hideMark/>
          </w:tcPr>
          <w:p w:rsidR="00B31827" w:rsidRPr="00DF207A" w:rsidRDefault="00B31827" w:rsidP="00F040EA">
            <w:pPr>
              <w:spacing w:after="0" w:line="240" w:lineRule="auto"/>
              <w:ind w:left="-76" w:firstLine="0"/>
              <w:rPr>
                <w:b/>
                <w:sz w:val="18"/>
                <w:szCs w:val="18"/>
              </w:rPr>
            </w:pPr>
            <w:r w:rsidRPr="00DF207A">
              <w:rPr>
                <w:b/>
                <w:sz w:val="18"/>
                <w:szCs w:val="18"/>
              </w:rPr>
              <w:t>P–Value</w:t>
            </w:r>
          </w:p>
        </w:tc>
      </w:tr>
      <w:tr w:rsidR="00B31827" w:rsidTr="00F040EA">
        <w:trPr>
          <w:trHeight w:val="260"/>
        </w:trPr>
        <w:tc>
          <w:tcPr>
            <w:tcW w:w="1710" w:type="dxa"/>
            <w:tcBorders>
              <w:top w:val="single" w:sz="4" w:space="0" w:color="auto"/>
              <w:left w:val="nil"/>
              <w:bottom w:val="nil"/>
              <w:right w:val="nil"/>
            </w:tcBorders>
            <w:hideMark/>
          </w:tcPr>
          <w:p w:rsidR="00B31827" w:rsidRPr="00DF207A" w:rsidRDefault="00B31827" w:rsidP="00F040EA">
            <w:pPr>
              <w:spacing w:after="0" w:line="240" w:lineRule="auto"/>
              <w:ind w:left="-18" w:firstLine="0"/>
              <w:jc w:val="left"/>
              <w:rPr>
                <w:bCs/>
                <w:sz w:val="18"/>
                <w:szCs w:val="18"/>
              </w:rPr>
            </w:pPr>
            <w:r w:rsidRPr="00DF207A">
              <w:rPr>
                <w:bCs/>
                <w:sz w:val="18"/>
                <w:szCs w:val="18"/>
              </w:rPr>
              <w:t>Age category</w:t>
            </w:r>
          </w:p>
          <w:p w:rsidR="00B31827" w:rsidRPr="00DF207A" w:rsidRDefault="00B31827" w:rsidP="00F040EA">
            <w:pPr>
              <w:spacing w:after="0" w:line="240" w:lineRule="auto"/>
              <w:ind w:left="128" w:firstLine="0"/>
              <w:jc w:val="left"/>
              <w:rPr>
                <w:rFonts w:asciiTheme="majorBidi" w:hAnsiTheme="majorBidi" w:cstheme="majorBidi"/>
                <w:sz w:val="18"/>
                <w:szCs w:val="18"/>
              </w:rPr>
            </w:pPr>
            <w:r w:rsidRPr="00DF207A">
              <w:rPr>
                <w:rFonts w:asciiTheme="majorBidi" w:hAnsiTheme="majorBidi" w:cstheme="majorBidi"/>
                <w:sz w:val="18"/>
                <w:szCs w:val="18"/>
              </w:rPr>
              <w:t>28</w:t>
            </w:r>
            <w:r w:rsidRPr="00DF207A">
              <w:rPr>
                <w:sz w:val="18"/>
                <w:szCs w:val="18"/>
              </w:rPr>
              <w:t>–</w:t>
            </w:r>
            <w:r w:rsidRPr="00DF207A">
              <w:rPr>
                <w:rFonts w:asciiTheme="majorBidi" w:hAnsiTheme="majorBidi" w:cstheme="majorBidi"/>
                <w:sz w:val="18"/>
                <w:szCs w:val="18"/>
              </w:rPr>
              <w:t>37</w:t>
            </w:r>
          </w:p>
          <w:p w:rsidR="00B31827" w:rsidRPr="00DF207A" w:rsidRDefault="00B31827" w:rsidP="00F040EA">
            <w:pPr>
              <w:spacing w:after="0" w:line="240" w:lineRule="auto"/>
              <w:ind w:left="128" w:firstLine="0"/>
              <w:jc w:val="left"/>
              <w:rPr>
                <w:rFonts w:asciiTheme="majorBidi" w:hAnsiTheme="majorBidi" w:cstheme="majorBidi"/>
                <w:sz w:val="18"/>
                <w:szCs w:val="18"/>
              </w:rPr>
            </w:pPr>
            <w:r w:rsidRPr="00DF207A">
              <w:rPr>
                <w:rFonts w:asciiTheme="majorBidi" w:hAnsiTheme="majorBidi" w:cstheme="majorBidi"/>
                <w:sz w:val="18"/>
                <w:szCs w:val="18"/>
              </w:rPr>
              <w:t>38</w:t>
            </w:r>
            <w:r w:rsidRPr="00DF207A">
              <w:rPr>
                <w:sz w:val="18"/>
                <w:szCs w:val="18"/>
              </w:rPr>
              <w:t>–</w:t>
            </w:r>
            <w:r w:rsidRPr="00DF207A">
              <w:rPr>
                <w:rFonts w:asciiTheme="majorBidi" w:hAnsiTheme="majorBidi" w:cstheme="majorBidi"/>
                <w:sz w:val="18"/>
                <w:szCs w:val="18"/>
              </w:rPr>
              <w:t>47</w:t>
            </w:r>
          </w:p>
          <w:p w:rsidR="00B31827" w:rsidRPr="00DF207A" w:rsidRDefault="00B31827" w:rsidP="00F040EA">
            <w:pPr>
              <w:spacing w:after="0" w:line="240" w:lineRule="auto"/>
              <w:ind w:left="128" w:firstLine="0"/>
              <w:jc w:val="left"/>
              <w:rPr>
                <w:rFonts w:asciiTheme="majorBidi" w:hAnsiTheme="majorBidi" w:cstheme="majorBidi"/>
                <w:sz w:val="18"/>
                <w:szCs w:val="18"/>
              </w:rPr>
            </w:pPr>
            <w:r w:rsidRPr="00DF207A">
              <w:rPr>
                <w:rFonts w:asciiTheme="majorBidi" w:hAnsiTheme="majorBidi" w:cstheme="majorBidi"/>
                <w:sz w:val="18"/>
                <w:szCs w:val="18"/>
              </w:rPr>
              <w:t>48</w:t>
            </w:r>
            <w:r w:rsidRPr="00DF207A">
              <w:rPr>
                <w:sz w:val="18"/>
                <w:szCs w:val="18"/>
              </w:rPr>
              <w:t>–</w:t>
            </w:r>
            <w:r w:rsidRPr="00DF207A">
              <w:rPr>
                <w:rFonts w:asciiTheme="majorBidi" w:hAnsiTheme="majorBidi" w:cstheme="majorBidi"/>
                <w:sz w:val="18"/>
                <w:szCs w:val="18"/>
              </w:rPr>
              <w:t>57</w:t>
            </w:r>
          </w:p>
          <w:p w:rsidR="00B31827" w:rsidRPr="00DF207A" w:rsidRDefault="00B31827" w:rsidP="00F040EA">
            <w:pPr>
              <w:spacing w:after="0" w:line="240" w:lineRule="auto"/>
              <w:ind w:left="128" w:firstLine="0"/>
              <w:jc w:val="left"/>
              <w:rPr>
                <w:rFonts w:asciiTheme="majorBidi" w:hAnsiTheme="majorBidi" w:cstheme="majorBidi"/>
                <w:sz w:val="18"/>
                <w:szCs w:val="18"/>
              </w:rPr>
            </w:pPr>
            <w:r w:rsidRPr="00DF207A">
              <w:rPr>
                <w:rFonts w:asciiTheme="majorBidi" w:hAnsiTheme="majorBidi" w:cstheme="majorBidi"/>
                <w:sz w:val="18"/>
                <w:szCs w:val="18"/>
              </w:rPr>
              <w:t>58</w:t>
            </w:r>
            <w:r w:rsidRPr="00DF207A">
              <w:rPr>
                <w:sz w:val="18"/>
                <w:szCs w:val="18"/>
              </w:rPr>
              <w:t>–</w:t>
            </w:r>
            <w:r w:rsidRPr="00DF207A">
              <w:rPr>
                <w:rFonts w:asciiTheme="majorBidi" w:hAnsiTheme="majorBidi" w:cstheme="majorBidi"/>
                <w:sz w:val="18"/>
                <w:szCs w:val="18"/>
              </w:rPr>
              <w:t>67</w:t>
            </w:r>
          </w:p>
          <w:p w:rsidR="00B31827" w:rsidRPr="00DF207A" w:rsidRDefault="00B31827" w:rsidP="00F040EA">
            <w:pPr>
              <w:spacing w:after="0" w:line="240" w:lineRule="auto"/>
              <w:ind w:left="128" w:firstLine="0"/>
              <w:jc w:val="left"/>
              <w:rPr>
                <w:sz w:val="18"/>
                <w:szCs w:val="18"/>
              </w:rPr>
            </w:pPr>
            <w:r w:rsidRPr="00DF207A">
              <w:rPr>
                <w:rFonts w:asciiTheme="majorBidi" w:hAnsiTheme="majorBidi" w:cstheme="majorBidi"/>
                <w:sz w:val="18"/>
                <w:szCs w:val="18"/>
              </w:rPr>
              <w:t>≥68</w:t>
            </w:r>
          </w:p>
        </w:tc>
        <w:tc>
          <w:tcPr>
            <w:tcW w:w="1440" w:type="dxa"/>
            <w:tcBorders>
              <w:top w:val="single" w:sz="4" w:space="0" w:color="auto"/>
              <w:left w:val="nil"/>
              <w:bottom w:val="nil"/>
              <w:right w:val="nil"/>
            </w:tcBorders>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left="158" w:firstLine="0"/>
              <w:jc w:val="left"/>
              <w:rPr>
                <w:sz w:val="18"/>
                <w:szCs w:val="18"/>
              </w:rPr>
            </w:pPr>
            <w:r w:rsidRPr="00DF207A">
              <w:rPr>
                <w:sz w:val="18"/>
                <w:szCs w:val="18"/>
              </w:rPr>
              <w:t>7 (2.8)</w:t>
            </w:r>
          </w:p>
          <w:p w:rsidR="00B31827" w:rsidRPr="00DF207A" w:rsidRDefault="00B31827" w:rsidP="00F040EA">
            <w:pPr>
              <w:spacing w:after="0" w:line="240" w:lineRule="auto"/>
              <w:ind w:left="68" w:firstLine="0"/>
              <w:jc w:val="left"/>
              <w:rPr>
                <w:sz w:val="18"/>
                <w:szCs w:val="18"/>
              </w:rPr>
            </w:pPr>
            <w:r w:rsidRPr="00DF207A">
              <w:rPr>
                <w:sz w:val="18"/>
                <w:szCs w:val="18"/>
              </w:rPr>
              <w:t>32 (12.8)</w:t>
            </w:r>
          </w:p>
          <w:p w:rsidR="00B31827" w:rsidRPr="00DF207A" w:rsidRDefault="00B31827" w:rsidP="00F040EA">
            <w:pPr>
              <w:spacing w:after="0" w:line="240" w:lineRule="auto"/>
              <w:ind w:left="68" w:firstLine="0"/>
              <w:jc w:val="left"/>
              <w:rPr>
                <w:sz w:val="18"/>
                <w:szCs w:val="18"/>
              </w:rPr>
            </w:pPr>
            <w:r w:rsidRPr="00DF207A">
              <w:rPr>
                <w:sz w:val="18"/>
                <w:szCs w:val="18"/>
              </w:rPr>
              <w:t>79 (31.6)</w:t>
            </w:r>
          </w:p>
          <w:p w:rsidR="00B31827" w:rsidRPr="00DF207A" w:rsidRDefault="00B31827" w:rsidP="00F040EA">
            <w:pPr>
              <w:spacing w:after="0" w:line="240" w:lineRule="auto"/>
              <w:ind w:left="68" w:firstLine="0"/>
              <w:jc w:val="left"/>
              <w:rPr>
                <w:sz w:val="18"/>
                <w:szCs w:val="18"/>
              </w:rPr>
            </w:pPr>
            <w:r w:rsidRPr="00DF207A">
              <w:rPr>
                <w:sz w:val="18"/>
                <w:szCs w:val="18"/>
              </w:rPr>
              <w:t>86 (34.4)</w:t>
            </w:r>
          </w:p>
          <w:p w:rsidR="00B31827" w:rsidRPr="00DF207A" w:rsidRDefault="00B31827" w:rsidP="00F040EA">
            <w:pPr>
              <w:spacing w:after="0" w:line="240" w:lineRule="auto"/>
              <w:ind w:left="68" w:firstLine="0"/>
              <w:jc w:val="left"/>
              <w:rPr>
                <w:sz w:val="18"/>
                <w:szCs w:val="18"/>
              </w:rPr>
            </w:pPr>
            <w:r w:rsidRPr="00DF207A">
              <w:rPr>
                <w:sz w:val="18"/>
                <w:szCs w:val="18"/>
              </w:rPr>
              <w:t>46 (18.4)</w:t>
            </w:r>
          </w:p>
        </w:tc>
        <w:tc>
          <w:tcPr>
            <w:tcW w:w="1440" w:type="dxa"/>
            <w:tcBorders>
              <w:top w:val="single" w:sz="4" w:space="0" w:color="auto"/>
              <w:left w:val="nil"/>
              <w:bottom w:val="nil"/>
              <w:right w:val="nil"/>
            </w:tcBorders>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154" w:firstLine="0"/>
              <w:jc w:val="left"/>
              <w:rPr>
                <w:sz w:val="18"/>
                <w:szCs w:val="18"/>
              </w:rPr>
            </w:pPr>
            <w:r>
              <w:rPr>
                <w:sz w:val="18"/>
                <w:szCs w:val="18"/>
              </w:rPr>
              <w:t>4 (2.2%)</w:t>
            </w:r>
          </w:p>
          <w:p w:rsidR="00B31827" w:rsidRDefault="00B31827" w:rsidP="00F040EA">
            <w:pPr>
              <w:spacing w:after="0" w:line="240" w:lineRule="auto"/>
              <w:ind w:left="64" w:firstLine="0"/>
              <w:jc w:val="left"/>
              <w:rPr>
                <w:sz w:val="18"/>
                <w:szCs w:val="18"/>
              </w:rPr>
            </w:pPr>
            <w:r>
              <w:rPr>
                <w:sz w:val="18"/>
                <w:szCs w:val="18"/>
              </w:rPr>
              <w:t>22 (12.2%)</w:t>
            </w:r>
          </w:p>
          <w:p w:rsidR="00B31827" w:rsidRDefault="00B31827" w:rsidP="00F040EA">
            <w:pPr>
              <w:spacing w:after="0" w:line="240" w:lineRule="auto"/>
              <w:ind w:left="64" w:firstLine="0"/>
              <w:jc w:val="left"/>
              <w:rPr>
                <w:sz w:val="18"/>
                <w:szCs w:val="18"/>
              </w:rPr>
            </w:pPr>
            <w:r>
              <w:rPr>
                <w:sz w:val="18"/>
                <w:szCs w:val="18"/>
              </w:rPr>
              <w:t>52 (28.7%)</w:t>
            </w:r>
          </w:p>
          <w:p w:rsidR="00B31827" w:rsidRDefault="00B31827" w:rsidP="00F040EA">
            <w:pPr>
              <w:spacing w:after="0" w:line="240" w:lineRule="auto"/>
              <w:ind w:left="64" w:firstLine="0"/>
              <w:jc w:val="left"/>
              <w:rPr>
                <w:sz w:val="18"/>
                <w:szCs w:val="18"/>
              </w:rPr>
            </w:pPr>
            <w:r>
              <w:rPr>
                <w:sz w:val="18"/>
                <w:szCs w:val="18"/>
              </w:rPr>
              <w:t>66 (36.5%)</w:t>
            </w:r>
          </w:p>
          <w:p w:rsidR="00B31827" w:rsidRDefault="00B31827" w:rsidP="00F040EA">
            <w:pPr>
              <w:spacing w:after="0" w:line="240" w:lineRule="auto"/>
              <w:ind w:left="64" w:firstLine="0"/>
              <w:jc w:val="left"/>
              <w:rPr>
                <w:sz w:val="18"/>
                <w:szCs w:val="18"/>
              </w:rPr>
            </w:pPr>
            <w:r>
              <w:rPr>
                <w:sz w:val="18"/>
                <w:szCs w:val="18"/>
              </w:rPr>
              <w:t>37 (20.4%)</w:t>
            </w:r>
          </w:p>
        </w:tc>
        <w:tc>
          <w:tcPr>
            <w:tcW w:w="1350" w:type="dxa"/>
            <w:gridSpan w:val="2"/>
            <w:tcBorders>
              <w:top w:val="single" w:sz="4" w:space="0" w:color="auto"/>
              <w:left w:val="nil"/>
              <w:bottom w:val="nil"/>
              <w:right w:val="nil"/>
            </w:tcBorders>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72" w:firstLine="0"/>
              <w:jc w:val="left"/>
              <w:rPr>
                <w:sz w:val="18"/>
                <w:szCs w:val="18"/>
              </w:rPr>
            </w:pPr>
            <w:r>
              <w:rPr>
                <w:sz w:val="18"/>
                <w:szCs w:val="18"/>
              </w:rPr>
              <w:t>3 (4.3%)</w:t>
            </w:r>
          </w:p>
          <w:p w:rsidR="00B31827" w:rsidRDefault="00B31827" w:rsidP="00F040EA">
            <w:pPr>
              <w:spacing w:after="0" w:line="240" w:lineRule="auto"/>
              <w:ind w:firstLine="0"/>
              <w:jc w:val="left"/>
              <w:rPr>
                <w:sz w:val="18"/>
                <w:szCs w:val="18"/>
              </w:rPr>
            </w:pPr>
            <w:r>
              <w:rPr>
                <w:sz w:val="18"/>
                <w:szCs w:val="18"/>
              </w:rPr>
              <w:t>10 (14.5%)</w:t>
            </w:r>
          </w:p>
          <w:p w:rsidR="00B31827" w:rsidRDefault="00B31827" w:rsidP="00F040EA">
            <w:pPr>
              <w:spacing w:after="0" w:line="240" w:lineRule="auto"/>
              <w:ind w:firstLine="0"/>
              <w:jc w:val="left"/>
              <w:rPr>
                <w:sz w:val="18"/>
                <w:szCs w:val="18"/>
              </w:rPr>
            </w:pPr>
            <w:r>
              <w:rPr>
                <w:sz w:val="18"/>
                <w:szCs w:val="18"/>
              </w:rPr>
              <w:t>27 (39.1%)</w:t>
            </w:r>
          </w:p>
          <w:p w:rsidR="00B31827" w:rsidRDefault="00B31827" w:rsidP="00F040EA">
            <w:pPr>
              <w:spacing w:after="0" w:line="240" w:lineRule="auto"/>
              <w:ind w:firstLine="0"/>
              <w:jc w:val="left"/>
              <w:rPr>
                <w:sz w:val="18"/>
                <w:szCs w:val="18"/>
              </w:rPr>
            </w:pPr>
            <w:r>
              <w:rPr>
                <w:sz w:val="18"/>
                <w:szCs w:val="18"/>
              </w:rPr>
              <w:t>20 (29.0%)</w:t>
            </w:r>
          </w:p>
          <w:p w:rsidR="00B31827" w:rsidRDefault="00B31827" w:rsidP="00F040EA">
            <w:pPr>
              <w:spacing w:after="0" w:line="240" w:lineRule="auto"/>
              <w:ind w:left="72" w:firstLine="0"/>
              <w:jc w:val="left"/>
              <w:rPr>
                <w:sz w:val="18"/>
                <w:szCs w:val="18"/>
              </w:rPr>
            </w:pPr>
            <w:r>
              <w:rPr>
                <w:sz w:val="18"/>
                <w:szCs w:val="18"/>
              </w:rPr>
              <w:t>9 (13.0%)</w:t>
            </w:r>
          </w:p>
        </w:tc>
        <w:tc>
          <w:tcPr>
            <w:tcW w:w="1710" w:type="dxa"/>
            <w:tcBorders>
              <w:top w:val="single" w:sz="4" w:space="0" w:color="auto"/>
              <w:left w:val="nil"/>
              <w:bottom w:val="nil"/>
              <w:right w:val="nil"/>
            </w:tcBorders>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1.7 (0.3–8.8)</w:t>
            </w:r>
          </w:p>
          <w:p w:rsidR="00B31827" w:rsidRDefault="00B31827" w:rsidP="00F040EA">
            <w:pPr>
              <w:spacing w:after="0" w:line="240" w:lineRule="auto"/>
              <w:ind w:left="342" w:firstLine="0"/>
              <w:jc w:val="left"/>
              <w:rPr>
                <w:sz w:val="18"/>
                <w:szCs w:val="18"/>
              </w:rPr>
            </w:pPr>
            <w:r>
              <w:rPr>
                <w:sz w:val="18"/>
                <w:szCs w:val="18"/>
              </w:rPr>
              <w:t>1.4 (0.3–6.9)</w:t>
            </w:r>
          </w:p>
          <w:p w:rsidR="00B31827" w:rsidRDefault="00B31827" w:rsidP="00F040EA">
            <w:pPr>
              <w:spacing w:after="0" w:line="240" w:lineRule="auto"/>
              <w:ind w:left="342" w:firstLine="0"/>
              <w:jc w:val="left"/>
              <w:rPr>
                <w:sz w:val="18"/>
                <w:szCs w:val="18"/>
              </w:rPr>
            </w:pPr>
            <w:r>
              <w:rPr>
                <w:sz w:val="18"/>
                <w:szCs w:val="18"/>
              </w:rPr>
              <w:t>2.5 (0.5–12)</w:t>
            </w:r>
          </w:p>
          <w:p w:rsidR="00B31827" w:rsidRDefault="00B31827" w:rsidP="00F040EA">
            <w:pPr>
              <w:spacing w:after="0" w:line="240" w:lineRule="auto"/>
              <w:ind w:left="342" w:firstLine="0"/>
              <w:jc w:val="left"/>
              <w:rPr>
                <w:sz w:val="18"/>
                <w:szCs w:val="18"/>
              </w:rPr>
            </w:pPr>
            <w:r>
              <w:rPr>
                <w:sz w:val="18"/>
                <w:szCs w:val="18"/>
              </w:rPr>
              <w:t>3.1 (0.6–16.3)</w:t>
            </w:r>
          </w:p>
        </w:tc>
        <w:tc>
          <w:tcPr>
            <w:tcW w:w="810" w:type="dxa"/>
            <w:tcBorders>
              <w:top w:val="single" w:sz="4" w:space="0" w:color="auto"/>
              <w:left w:val="nil"/>
              <w:bottom w:val="nil"/>
              <w:right w:val="nil"/>
            </w:tcBorders>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0.293</w:t>
            </w:r>
          </w:p>
        </w:tc>
      </w:tr>
      <w:tr w:rsidR="00B31827" w:rsidTr="00F040EA">
        <w:trPr>
          <w:trHeight w:val="630"/>
        </w:trPr>
        <w:tc>
          <w:tcPr>
            <w:tcW w:w="1710" w:type="dxa"/>
            <w:hideMark/>
          </w:tcPr>
          <w:p w:rsidR="00B31827" w:rsidRPr="00DF207A" w:rsidRDefault="00B31827" w:rsidP="00F040EA">
            <w:pPr>
              <w:spacing w:after="0" w:line="240" w:lineRule="auto"/>
              <w:ind w:left="-18" w:firstLine="0"/>
              <w:jc w:val="left"/>
              <w:rPr>
                <w:bCs/>
                <w:sz w:val="18"/>
                <w:szCs w:val="18"/>
              </w:rPr>
            </w:pPr>
            <w:r w:rsidRPr="00DF207A">
              <w:rPr>
                <w:bCs/>
                <w:sz w:val="18"/>
                <w:szCs w:val="18"/>
              </w:rPr>
              <w:t>Gender</w:t>
            </w:r>
          </w:p>
          <w:p w:rsidR="00B31827" w:rsidRPr="00DF207A" w:rsidRDefault="00B31827" w:rsidP="00F040EA">
            <w:pPr>
              <w:spacing w:after="0" w:line="240" w:lineRule="auto"/>
              <w:ind w:left="128" w:firstLine="0"/>
              <w:jc w:val="left"/>
              <w:rPr>
                <w:sz w:val="18"/>
                <w:szCs w:val="18"/>
              </w:rPr>
            </w:pPr>
            <w:r w:rsidRPr="00DF207A">
              <w:rPr>
                <w:sz w:val="18"/>
                <w:szCs w:val="18"/>
              </w:rPr>
              <w:t>Male</w:t>
            </w:r>
          </w:p>
          <w:p w:rsidR="00B31827" w:rsidRPr="00DF207A" w:rsidRDefault="00B31827" w:rsidP="00F040EA">
            <w:pPr>
              <w:spacing w:after="0" w:line="240" w:lineRule="auto"/>
              <w:ind w:left="128" w:firstLine="0"/>
              <w:jc w:val="left"/>
              <w:rPr>
                <w:sz w:val="18"/>
                <w:szCs w:val="18"/>
              </w:rPr>
            </w:pPr>
            <w:r w:rsidRPr="00DF207A">
              <w:rPr>
                <w:sz w:val="18"/>
                <w:szCs w:val="18"/>
              </w:rPr>
              <w:t>Female</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firstLine="0"/>
              <w:jc w:val="left"/>
              <w:rPr>
                <w:sz w:val="18"/>
                <w:szCs w:val="18"/>
              </w:rPr>
            </w:pPr>
            <w:r w:rsidRPr="00DF207A">
              <w:rPr>
                <w:sz w:val="18"/>
                <w:szCs w:val="18"/>
              </w:rPr>
              <w:t>129 (51.6)</w:t>
            </w:r>
          </w:p>
          <w:p w:rsidR="00B31827" w:rsidRPr="00DF207A" w:rsidRDefault="00B31827" w:rsidP="00F040EA">
            <w:pPr>
              <w:spacing w:after="0" w:line="240" w:lineRule="auto"/>
              <w:ind w:firstLine="0"/>
              <w:jc w:val="left"/>
              <w:rPr>
                <w:sz w:val="18"/>
                <w:szCs w:val="18"/>
              </w:rPr>
            </w:pPr>
            <w:r w:rsidRPr="00DF207A">
              <w:rPr>
                <w:sz w:val="18"/>
                <w:szCs w:val="18"/>
              </w:rPr>
              <w:t>121 (48.4)</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104 (57.5%)</w:t>
            </w:r>
          </w:p>
          <w:p w:rsidR="00B31827" w:rsidRDefault="00B31827" w:rsidP="00F040EA">
            <w:pPr>
              <w:spacing w:after="0" w:line="240" w:lineRule="auto"/>
              <w:ind w:left="64" w:firstLine="0"/>
              <w:jc w:val="left"/>
              <w:rPr>
                <w:sz w:val="18"/>
                <w:szCs w:val="18"/>
              </w:rPr>
            </w:pPr>
            <w:r>
              <w:rPr>
                <w:sz w:val="18"/>
                <w:szCs w:val="18"/>
              </w:rPr>
              <w:t>77 (42.5%)</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25 (36.2%)</w:t>
            </w:r>
          </w:p>
          <w:p w:rsidR="00B31827" w:rsidRDefault="00B31827" w:rsidP="00F040EA">
            <w:pPr>
              <w:spacing w:after="0" w:line="240" w:lineRule="auto"/>
              <w:ind w:firstLine="0"/>
              <w:jc w:val="left"/>
              <w:rPr>
                <w:sz w:val="18"/>
                <w:szCs w:val="18"/>
              </w:rPr>
            </w:pPr>
            <w:r>
              <w:rPr>
                <w:sz w:val="18"/>
                <w:szCs w:val="18"/>
              </w:rPr>
              <w:t>44 (63.8%)</w:t>
            </w:r>
          </w:p>
        </w:tc>
        <w:tc>
          <w:tcPr>
            <w:tcW w:w="1710" w:type="dxa"/>
          </w:tcPr>
          <w:p w:rsidR="00B31827" w:rsidRDefault="00B31827" w:rsidP="00F040EA">
            <w:pPr>
              <w:spacing w:after="0" w:line="240" w:lineRule="auto"/>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0.4 (0.2–0.7)</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0.003</w:t>
            </w:r>
          </w:p>
        </w:tc>
      </w:tr>
      <w:tr w:rsidR="00B31827" w:rsidTr="00F040EA">
        <w:trPr>
          <w:trHeight w:val="567"/>
        </w:trPr>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Marital status</w:t>
            </w:r>
          </w:p>
          <w:p w:rsidR="00B31827" w:rsidRPr="00DF207A" w:rsidRDefault="00B31827" w:rsidP="00F040EA">
            <w:pPr>
              <w:spacing w:after="0" w:line="240" w:lineRule="auto"/>
              <w:ind w:left="128" w:firstLine="0"/>
              <w:jc w:val="left"/>
              <w:rPr>
                <w:sz w:val="18"/>
                <w:szCs w:val="18"/>
              </w:rPr>
            </w:pPr>
            <w:r w:rsidRPr="00DF207A">
              <w:rPr>
                <w:sz w:val="18"/>
                <w:szCs w:val="18"/>
              </w:rPr>
              <w:t>Single</w:t>
            </w:r>
          </w:p>
          <w:p w:rsidR="00B31827" w:rsidRPr="00DF207A" w:rsidRDefault="00B31827" w:rsidP="00F040EA">
            <w:pPr>
              <w:spacing w:after="0" w:line="240" w:lineRule="auto"/>
              <w:ind w:left="128" w:firstLine="0"/>
              <w:jc w:val="left"/>
              <w:rPr>
                <w:sz w:val="18"/>
                <w:szCs w:val="18"/>
              </w:rPr>
            </w:pPr>
            <w:r w:rsidRPr="00DF207A">
              <w:rPr>
                <w:sz w:val="18"/>
                <w:szCs w:val="18"/>
              </w:rPr>
              <w:t>Married</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left="68" w:firstLine="0"/>
              <w:jc w:val="left"/>
              <w:rPr>
                <w:sz w:val="18"/>
                <w:szCs w:val="18"/>
              </w:rPr>
            </w:pPr>
            <w:r w:rsidRPr="00DF207A">
              <w:rPr>
                <w:sz w:val="18"/>
                <w:szCs w:val="18"/>
              </w:rPr>
              <w:t>57 (22.8)</w:t>
            </w:r>
          </w:p>
          <w:p w:rsidR="00B31827" w:rsidRPr="00DF207A" w:rsidRDefault="00B31827" w:rsidP="00F040EA">
            <w:pPr>
              <w:spacing w:after="0" w:line="240" w:lineRule="auto"/>
              <w:ind w:firstLine="0"/>
              <w:jc w:val="left"/>
              <w:rPr>
                <w:sz w:val="18"/>
                <w:szCs w:val="18"/>
              </w:rPr>
            </w:pPr>
            <w:r w:rsidRPr="00DF207A">
              <w:rPr>
                <w:sz w:val="18"/>
                <w:szCs w:val="18"/>
              </w:rPr>
              <w:t>193 (77.2)</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64" w:firstLine="0"/>
              <w:jc w:val="left"/>
              <w:rPr>
                <w:sz w:val="18"/>
                <w:szCs w:val="18"/>
              </w:rPr>
            </w:pPr>
            <w:r>
              <w:rPr>
                <w:sz w:val="18"/>
                <w:szCs w:val="18"/>
              </w:rPr>
              <w:t>40 (22.1%)</w:t>
            </w:r>
          </w:p>
          <w:p w:rsidR="00B31827" w:rsidRDefault="00B31827" w:rsidP="00F040EA">
            <w:pPr>
              <w:spacing w:after="0" w:line="240" w:lineRule="auto"/>
              <w:ind w:firstLine="0"/>
              <w:jc w:val="left"/>
              <w:rPr>
                <w:sz w:val="18"/>
                <w:szCs w:val="18"/>
              </w:rPr>
            </w:pPr>
            <w:r>
              <w:rPr>
                <w:sz w:val="18"/>
                <w:szCs w:val="18"/>
              </w:rPr>
              <w:t>141 (77.9%)</w:t>
            </w:r>
          </w:p>
        </w:tc>
        <w:tc>
          <w:tcPr>
            <w:tcW w:w="1350" w:type="dxa"/>
            <w:gridSpan w:val="2"/>
          </w:tcPr>
          <w:p w:rsidR="00B31827" w:rsidRDefault="00B31827" w:rsidP="00F040EA">
            <w:pPr>
              <w:spacing w:after="0" w:line="240" w:lineRule="auto"/>
              <w:jc w:val="left"/>
              <w:rPr>
                <w:sz w:val="18"/>
                <w:szCs w:val="18"/>
              </w:rPr>
            </w:pPr>
          </w:p>
          <w:p w:rsidR="00B31827" w:rsidRDefault="00B31827" w:rsidP="00F040EA">
            <w:pPr>
              <w:spacing w:after="0" w:line="240" w:lineRule="auto"/>
              <w:ind w:firstLine="0"/>
              <w:jc w:val="left"/>
              <w:rPr>
                <w:sz w:val="18"/>
                <w:szCs w:val="18"/>
              </w:rPr>
            </w:pPr>
            <w:r>
              <w:rPr>
                <w:sz w:val="18"/>
                <w:szCs w:val="18"/>
              </w:rPr>
              <w:t>17 (24.6%)</w:t>
            </w:r>
          </w:p>
          <w:p w:rsidR="00B31827" w:rsidRDefault="00B31827" w:rsidP="00F040EA">
            <w:pPr>
              <w:spacing w:after="0" w:line="240" w:lineRule="auto"/>
              <w:ind w:firstLine="0"/>
              <w:jc w:val="left"/>
              <w:rPr>
                <w:sz w:val="18"/>
                <w:szCs w:val="18"/>
              </w:rPr>
            </w:pPr>
            <w:r>
              <w:rPr>
                <w:sz w:val="18"/>
                <w:szCs w:val="18"/>
              </w:rPr>
              <w:t>52 (75.4%)</w:t>
            </w:r>
          </w:p>
        </w:tc>
        <w:tc>
          <w:tcPr>
            <w:tcW w:w="1710" w:type="dxa"/>
          </w:tcPr>
          <w:p w:rsidR="00B31827" w:rsidRDefault="00B31827" w:rsidP="00F040EA">
            <w:pPr>
              <w:spacing w:after="0" w:line="240" w:lineRule="auto"/>
              <w:jc w:val="left"/>
              <w:rPr>
                <w:sz w:val="18"/>
                <w:szCs w:val="18"/>
              </w:rPr>
            </w:pPr>
          </w:p>
          <w:p w:rsidR="00B31827" w:rsidRDefault="00B31827" w:rsidP="00F040EA">
            <w:pPr>
              <w:spacing w:after="0" w:line="240" w:lineRule="auto"/>
              <w:ind w:firstLine="342"/>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1.2 (0.6–2.2)</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0.669</w:t>
            </w:r>
          </w:p>
        </w:tc>
      </w:tr>
      <w:tr w:rsidR="00B31827" w:rsidTr="00F040EA">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 xml:space="preserve">Income level </w:t>
            </w:r>
            <w:r>
              <w:rPr>
                <w:bCs/>
                <w:sz w:val="18"/>
                <w:szCs w:val="18"/>
              </w:rPr>
              <w:t xml:space="preserve"> (JDs)</w:t>
            </w:r>
          </w:p>
          <w:p w:rsidR="00B31827" w:rsidRPr="00DF207A" w:rsidRDefault="00B31827" w:rsidP="00F040EA">
            <w:pPr>
              <w:spacing w:after="0" w:line="240" w:lineRule="auto"/>
              <w:ind w:left="128" w:firstLine="0"/>
              <w:jc w:val="left"/>
              <w:rPr>
                <w:sz w:val="18"/>
                <w:szCs w:val="18"/>
              </w:rPr>
            </w:pPr>
            <w:r w:rsidRPr="00DF207A">
              <w:rPr>
                <w:sz w:val="18"/>
                <w:szCs w:val="18"/>
              </w:rPr>
              <w:t>&lt;500</w:t>
            </w:r>
          </w:p>
          <w:p w:rsidR="00B31827" w:rsidRPr="00DF207A" w:rsidRDefault="00B31827" w:rsidP="00F040EA">
            <w:pPr>
              <w:spacing w:after="0" w:line="240" w:lineRule="auto"/>
              <w:ind w:left="128" w:firstLine="0"/>
              <w:jc w:val="left"/>
              <w:rPr>
                <w:sz w:val="18"/>
                <w:szCs w:val="18"/>
              </w:rPr>
            </w:pPr>
            <w:r w:rsidRPr="00DF207A">
              <w:rPr>
                <w:sz w:val="18"/>
                <w:szCs w:val="18"/>
              </w:rPr>
              <w:t>≥500</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firstLine="0"/>
              <w:jc w:val="left"/>
              <w:rPr>
                <w:sz w:val="18"/>
                <w:szCs w:val="18"/>
              </w:rPr>
            </w:pPr>
            <w:r w:rsidRPr="00DF207A">
              <w:rPr>
                <w:sz w:val="18"/>
                <w:szCs w:val="18"/>
              </w:rPr>
              <w:t>168 (67.2)</w:t>
            </w:r>
          </w:p>
          <w:p w:rsidR="00B31827" w:rsidRPr="00DF207A" w:rsidRDefault="00B31827" w:rsidP="00F040EA">
            <w:pPr>
              <w:spacing w:after="0" w:line="240" w:lineRule="auto"/>
              <w:ind w:left="72" w:firstLine="0"/>
              <w:jc w:val="left"/>
              <w:rPr>
                <w:sz w:val="18"/>
                <w:szCs w:val="18"/>
              </w:rPr>
            </w:pPr>
            <w:r w:rsidRPr="00DF207A">
              <w:rPr>
                <w:sz w:val="18"/>
                <w:szCs w:val="18"/>
              </w:rPr>
              <w:t>82 (32.8)</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121 (66.9%)</w:t>
            </w:r>
          </w:p>
          <w:p w:rsidR="00B31827" w:rsidRDefault="00B31827" w:rsidP="00F040EA">
            <w:pPr>
              <w:spacing w:after="0" w:line="240" w:lineRule="auto"/>
              <w:ind w:left="64" w:firstLine="0"/>
              <w:jc w:val="left"/>
              <w:rPr>
                <w:sz w:val="18"/>
                <w:szCs w:val="18"/>
              </w:rPr>
            </w:pPr>
            <w:r>
              <w:rPr>
                <w:sz w:val="18"/>
                <w:szCs w:val="18"/>
              </w:rPr>
              <w:t>60 (33.1%)</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47 (68.1%)</w:t>
            </w:r>
          </w:p>
          <w:p w:rsidR="00B31827" w:rsidRDefault="00B31827" w:rsidP="00F040EA">
            <w:pPr>
              <w:spacing w:after="0" w:line="240" w:lineRule="auto"/>
              <w:ind w:firstLine="0"/>
              <w:jc w:val="left"/>
              <w:rPr>
                <w:sz w:val="18"/>
                <w:szCs w:val="18"/>
              </w:rPr>
            </w:pPr>
            <w:r>
              <w:rPr>
                <w:sz w:val="18"/>
                <w:szCs w:val="18"/>
              </w:rPr>
              <w:t>22 (31.9%)</w:t>
            </w:r>
          </w:p>
        </w:tc>
        <w:tc>
          <w:tcPr>
            <w:tcW w:w="17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1.1 (0.6–1.9)</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0.849</w:t>
            </w:r>
          </w:p>
        </w:tc>
      </w:tr>
      <w:tr w:rsidR="00B31827" w:rsidTr="00F040EA">
        <w:trPr>
          <w:trHeight w:val="785"/>
        </w:trPr>
        <w:tc>
          <w:tcPr>
            <w:tcW w:w="1710" w:type="dxa"/>
            <w:hideMark/>
          </w:tcPr>
          <w:p w:rsidR="00B31827" w:rsidRPr="00DF207A" w:rsidRDefault="00B31827" w:rsidP="00F040EA">
            <w:pPr>
              <w:spacing w:after="0" w:line="240" w:lineRule="auto"/>
              <w:ind w:hanging="18"/>
              <w:jc w:val="left"/>
              <w:rPr>
                <w:rFonts w:asciiTheme="majorBidi" w:hAnsiTheme="majorBidi" w:cstheme="majorBidi"/>
                <w:bCs/>
                <w:sz w:val="18"/>
                <w:szCs w:val="18"/>
              </w:rPr>
            </w:pPr>
            <w:r w:rsidRPr="00DF207A">
              <w:rPr>
                <w:rFonts w:asciiTheme="majorBidi" w:hAnsiTheme="majorBidi" w:cstheme="majorBidi"/>
                <w:bCs/>
                <w:sz w:val="18"/>
                <w:szCs w:val="18"/>
              </w:rPr>
              <w:t>Educational level</w:t>
            </w:r>
          </w:p>
          <w:p w:rsidR="00B31827" w:rsidRPr="00DF207A" w:rsidRDefault="00B31827" w:rsidP="00F040EA">
            <w:pPr>
              <w:spacing w:after="0" w:line="240" w:lineRule="auto"/>
              <w:ind w:left="128" w:firstLine="0"/>
              <w:jc w:val="left"/>
              <w:rPr>
                <w:rFonts w:asciiTheme="majorBidi" w:hAnsiTheme="majorBidi" w:cstheme="majorBidi"/>
                <w:sz w:val="18"/>
                <w:szCs w:val="18"/>
              </w:rPr>
            </w:pPr>
            <w:r w:rsidRPr="00DF207A">
              <w:rPr>
                <w:rFonts w:asciiTheme="majorBidi" w:hAnsiTheme="majorBidi" w:cstheme="majorBidi"/>
                <w:sz w:val="18"/>
                <w:szCs w:val="18"/>
              </w:rPr>
              <w:t>Illiterate</w:t>
            </w:r>
          </w:p>
          <w:p w:rsidR="00B31827" w:rsidRPr="00DF207A" w:rsidRDefault="00B31827" w:rsidP="00F040EA">
            <w:pPr>
              <w:spacing w:after="0" w:line="240" w:lineRule="auto"/>
              <w:ind w:left="128" w:firstLine="0"/>
              <w:jc w:val="left"/>
              <w:rPr>
                <w:rFonts w:asciiTheme="majorBidi" w:hAnsiTheme="majorBidi" w:cstheme="majorBidi"/>
                <w:sz w:val="18"/>
                <w:szCs w:val="18"/>
              </w:rPr>
            </w:pPr>
            <w:r w:rsidRPr="00DF207A">
              <w:rPr>
                <w:rFonts w:asciiTheme="majorBidi" w:hAnsiTheme="majorBidi" w:cstheme="majorBidi"/>
                <w:sz w:val="18"/>
                <w:szCs w:val="18"/>
              </w:rPr>
              <w:t>≤High school</w:t>
            </w:r>
          </w:p>
          <w:p w:rsidR="00B31827" w:rsidRPr="00DF207A" w:rsidRDefault="00B31827" w:rsidP="00F040EA">
            <w:pPr>
              <w:spacing w:after="0" w:line="240" w:lineRule="auto"/>
              <w:ind w:left="128" w:firstLine="0"/>
              <w:jc w:val="left"/>
              <w:rPr>
                <w:rFonts w:asciiTheme="majorBidi" w:hAnsiTheme="majorBidi" w:cstheme="majorBidi"/>
                <w:sz w:val="18"/>
                <w:szCs w:val="18"/>
              </w:rPr>
            </w:pPr>
            <w:r w:rsidRPr="00DF207A">
              <w:rPr>
                <w:rFonts w:asciiTheme="majorBidi" w:hAnsiTheme="majorBidi" w:cstheme="majorBidi"/>
                <w:sz w:val="18"/>
                <w:szCs w:val="18"/>
              </w:rPr>
              <w:t>&gt;High school</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left="68" w:firstLine="0"/>
              <w:jc w:val="left"/>
              <w:rPr>
                <w:sz w:val="18"/>
                <w:szCs w:val="18"/>
              </w:rPr>
            </w:pPr>
            <w:r w:rsidRPr="00DF207A">
              <w:rPr>
                <w:sz w:val="18"/>
                <w:szCs w:val="18"/>
              </w:rPr>
              <w:t>29 (11.6)</w:t>
            </w:r>
          </w:p>
          <w:p w:rsidR="00B31827" w:rsidRPr="00DF207A" w:rsidRDefault="00B31827" w:rsidP="00F040EA">
            <w:pPr>
              <w:spacing w:after="0" w:line="240" w:lineRule="auto"/>
              <w:ind w:firstLine="0"/>
              <w:jc w:val="left"/>
              <w:rPr>
                <w:sz w:val="18"/>
                <w:szCs w:val="18"/>
              </w:rPr>
            </w:pPr>
            <w:r w:rsidRPr="00DF207A">
              <w:rPr>
                <w:sz w:val="18"/>
                <w:szCs w:val="18"/>
              </w:rPr>
              <w:t>157 (62.8)</w:t>
            </w:r>
          </w:p>
          <w:p w:rsidR="00B31827" w:rsidRPr="00DF207A" w:rsidRDefault="00B31827" w:rsidP="00F040EA">
            <w:pPr>
              <w:spacing w:after="0" w:line="240" w:lineRule="auto"/>
              <w:ind w:left="68" w:firstLine="0"/>
              <w:jc w:val="left"/>
              <w:rPr>
                <w:sz w:val="18"/>
                <w:szCs w:val="18"/>
              </w:rPr>
            </w:pPr>
            <w:r w:rsidRPr="00DF207A">
              <w:rPr>
                <w:sz w:val="18"/>
                <w:szCs w:val="18"/>
              </w:rPr>
              <w:t>64 (25.6)</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64" w:firstLine="0"/>
              <w:jc w:val="left"/>
              <w:rPr>
                <w:sz w:val="18"/>
                <w:szCs w:val="18"/>
              </w:rPr>
            </w:pPr>
            <w:r>
              <w:rPr>
                <w:sz w:val="18"/>
                <w:szCs w:val="18"/>
              </w:rPr>
              <w:t>23 (12.7%)</w:t>
            </w:r>
          </w:p>
          <w:p w:rsidR="00B31827" w:rsidRDefault="00B31827" w:rsidP="00F040EA">
            <w:pPr>
              <w:spacing w:after="0" w:line="240" w:lineRule="auto"/>
              <w:ind w:firstLine="0"/>
              <w:jc w:val="left"/>
              <w:rPr>
                <w:sz w:val="18"/>
                <w:szCs w:val="18"/>
              </w:rPr>
            </w:pPr>
            <w:r>
              <w:rPr>
                <w:sz w:val="18"/>
                <w:szCs w:val="18"/>
              </w:rPr>
              <w:t>109 (60.2%)</w:t>
            </w:r>
          </w:p>
          <w:p w:rsidR="00B31827" w:rsidRDefault="00B31827" w:rsidP="00F040EA">
            <w:pPr>
              <w:spacing w:after="0" w:line="240" w:lineRule="auto"/>
              <w:ind w:left="64" w:firstLine="0"/>
              <w:jc w:val="left"/>
              <w:rPr>
                <w:sz w:val="18"/>
                <w:szCs w:val="18"/>
              </w:rPr>
            </w:pPr>
            <w:r>
              <w:rPr>
                <w:sz w:val="18"/>
                <w:szCs w:val="18"/>
              </w:rPr>
              <w:t>49 (27.1%)</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72" w:firstLine="0"/>
              <w:jc w:val="left"/>
              <w:rPr>
                <w:sz w:val="18"/>
                <w:szCs w:val="18"/>
              </w:rPr>
            </w:pPr>
            <w:r>
              <w:rPr>
                <w:sz w:val="18"/>
                <w:szCs w:val="18"/>
              </w:rPr>
              <w:t>6 (8.7%)</w:t>
            </w:r>
          </w:p>
          <w:p w:rsidR="00B31827" w:rsidRDefault="00B31827" w:rsidP="00F040EA">
            <w:pPr>
              <w:spacing w:after="0" w:line="240" w:lineRule="auto"/>
              <w:ind w:firstLine="0"/>
              <w:jc w:val="left"/>
              <w:rPr>
                <w:sz w:val="18"/>
                <w:szCs w:val="18"/>
              </w:rPr>
            </w:pPr>
            <w:r>
              <w:rPr>
                <w:sz w:val="18"/>
                <w:szCs w:val="18"/>
              </w:rPr>
              <w:t>48 (69.6%)</w:t>
            </w:r>
          </w:p>
          <w:p w:rsidR="00B31827" w:rsidRDefault="00B31827" w:rsidP="00F040EA">
            <w:pPr>
              <w:spacing w:after="0" w:line="240" w:lineRule="auto"/>
              <w:ind w:firstLine="0"/>
              <w:jc w:val="left"/>
              <w:rPr>
                <w:sz w:val="18"/>
                <w:szCs w:val="18"/>
              </w:rPr>
            </w:pPr>
            <w:r>
              <w:rPr>
                <w:sz w:val="18"/>
                <w:szCs w:val="18"/>
              </w:rPr>
              <w:t>15 (21.7%)</w:t>
            </w:r>
          </w:p>
        </w:tc>
        <w:tc>
          <w:tcPr>
            <w:tcW w:w="17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0.6 (0.2–1.5)</w:t>
            </w:r>
          </w:p>
          <w:p w:rsidR="00B31827" w:rsidRDefault="00B31827" w:rsidP="00F040EA">
            <w:pPr>
              <w:spacing w:after="0" w:line="240" w:lineRule="auto"/>
              <w:ind w:left="342" w:firstLine="0"/>
              <w:jc w:val="left"/>
              <w:rPr>
                <w:sz w:val="18"/>
                <w:szCs w:val="18"/>
              </w:rPr>
            </w:pPr>
            <w:r>
              <w:rPr>
                <w:sz w:val="18"/>
                <w:szCs w:val="18"/>
              </w:rPr>
              <w:t>0.9 (0.3–2.5)</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0.382</w:t>
            </w:r>
          </w:p>
        </w:tc>
      </w:tr>
      <w:tr w:rsidR="00B31827" w:rsidTr="00F040EA">
        <w:tc>
          <w:tcPr>
            <w:tcW w:w="1710" w:type="dxa"/>
            <w:hideMark/>
          </w:tcPr>
          <w:p w:rsidR="00B31827" w:rsidRPr="00DF207A" w:rsidRDefault="00B31827" w:rsidP="00F040EA">
            <w:pPr>
              <w:spacing w:after="0" w:line="240" w:lineRule="auto"/>
              <w:ind w:left="-18" w:firstLine="0"/>
              <w:jc w:val="left"/>
              <w:rPr>
                <w:bCs/>
                <w:sz w:val="18"/>
                <w:szCs w:val="18"/>
              </w:rPr>
            </w:pPr>
            <w:r w:rsidRPr="00DF207A">
              <w:rPr>
                <w:bCs/>
                <w:sz w:val="18"/>
                <w:szCs w:val="18"/>
              </w:rPr>
              <w:t>Occupation</w:t>
            </w:r>
          </w:p>
          <w:p w:rsidR="00B31827" w:rsidRPr="00DF207A" w:rsidRDefault="00B31827" w:rsidP="00F040EA">
            <w:pPr>
              <w:spacing w:after="0" w:line="240" w:lineRule="auto"/>
              <w:ind w:left="128" w:firstLine="0"/>
              <w:jc w:val="left"/>
              <w:rPr>
                <w:sz w:val="18"/>
                <w:szCs w:val="18"/>
              </w:rPr>
            </w:pPr>
            <w:r w:rsidRPr="00DF207A">
              <w:rPr>
                <w:sz w:val="18"/>
                <w:szCs w:val="18"/>
              </w:rPr>
              <w:t>Employed</w:t>
            </w:r>
          </w:p>
          <w:p w:rsidR="00B31827" w:rsidRPr="00DF207A" w:rsidRDefault="00B31827" w:rsidP="00F040EA">
            <w:pPr>
              <w:spacing w:after="0" w:line="240" w:lineRule="auto"/>
              <w:ind w:left="128" w:firstLine="0"/>
              <w:jc w:val="left"/>
              <w:rPr>
                <w:sz w:val="18"/>
                <w:szCs w:val="18"/>
              </w:rPr>
            </w:pPr>
            <w:r w:rsidRPr="00DF207A">
              <w:rPr>
                <w:sz w:val="18"/>
                <w:szCs w:val="18"/>
              </w:rPr>
              <w:t>Unemployed</w:t>
            </w:r>
          </w:p>
          <w:p w:rsidR="00B31827" w:rsidRPr="00DF207A" w:rsidRDefault="00B31827" w:rsidP="00F040EA">
            <w:pPr>
              <w:spacing w:after="0" w:line="240" w:lineRule="auto"/>
              <w:ind w:left="128" w:firstLine="0"/>
              <w:jc w:val="left"/>
              <w:rPr>
                <w:sz w:val="18"/>
                <w:szCs w:val="18"/>
              </w:rPr>
            </w:pPr>
            <w:r w:rsidRPr="00DF207A">
              <w:rPr>
                <w:sz w:val="18"/>
                <w:szCs w:val="18"/>
              </w:rPr>
              <w:t>Housewife</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firstLine="0"/>
              <w:jc w:val="left"/>
              <w:rPr>
                <w:sz w:val="18"/>
                <w:szCs w:val="18"/>
              </w:rPr>
            </w:pPr>
            <w:r w:rsidRPr="00DF207A">
              <w:rPr>
                <w:sz w:val="18"/>
                <w:szCs w:val="18"/>
              </w:rPr>
              <w:t>103 (41.2)</w:t>
            </w:r>
          </w:p>
          <w:p w:rsidR="00B31827" w:rsidRPr="00DF207A" w:rsidRDefault="00B31827" w:rsidP="00F040EA">
            <w:pPr>
              <w:spacing w:after="0" w:line="240" w:lineRule="auto"/>
              <w:ind w:left="68" w:firstLine="0"/>
              <w:jc w:val="left"/>
              <w:rPr>
                <w:sz w:val="18"/>
                <w:szCs w:val="18"/>
              </w:rPr>
            </w:pPr>
            <w:r w:rsidRPr="00DF207A">
              <w:rPr>
                <w:sz w:val="18"/>
                <w:szCs w:val="18"/>
              </w:rPr>
              <w:t>51 (20.4)</w:t>
            </w:r>
          </w:p>
          <w:p w:rsidR="00B31827" w:rsidRPr="00DF207A" w:rsidRDefault="00B31827" w:rsidP="00F040EA">
            <w:pPr>
              <w:spacing w:after="0" w:line="240" w:lineRule="auto"/>
              <w:ind w:left="68" w:firstLine="0"/>
              <w:jc w:val="left"/>
              <w:rPr>
                <w:sz w:val="18"/>
                <w:szCs w:val="18"/>
              </w:rPr>
            </w:pPr>
            <w:r w:rsidRPr="00DF207A">
              <w:rPr>
                <w:sz w:val="18"/>
                <w:szCs w:val="18"/>
              </w:rPr>
              <w:t>96 (38.4)</w:t>
            </w:r>
          </w:p>
        </w:tc>
        <w:tc>
          <w:tcPr>
            <w:tcW w:w="1440" w:type="dxa"/>
          </w:tcPr>
          <w:p w:rsidR="00B31827" w:rsidRDefault="00B31827" w:rsidP="00F040EA">
            <w:pPr>
              <w:spacing w:after="0" w:line="240" w:lineRule="auto"/>
              <w:ind w:left="64" w:firstLine="0"/>
              <w:jc w:val="left"/>
              <w:rPr>
                <w:sz w:val="18"/>
                <w:szCs w:val="18"/>
              </w:rPr>
            </w:pPr>
          </w:p>
          <w:p w:rsidR="00B31827" w:rsidRDefault="00B31827" w:rsidP="00F040EA">
            <w:pPr>
              <w:spacing w:after="0" w:line="240" w:lineRule="auto"/>
              <w:ind w:left="64" w:firstLine="0"/>
              <w:jc w:val="left"/>
              <w:rPr>
                <w:sz w:val="18"/>
                <w:szCs w:val="18"/>
              </w:rPr>
            </w:pPr>
            <w:r>
              <w:rPr>
                <w:sz w:val="18"/>
                <w:szCs w:val="18"/>
              </w:rPr>
              <w:t>79 (43.6%)</w:t>
            </w:r>
          </w:p>
          <w:p w:rsidR="00B31827" w:rsidRDefault="00B31827" w:rsidP="00F040EA">
            <w:pPr>
              <w:spacing w:after="0" w:line="240" w:lineRule="auto"/>
              <w:ind w:left="64" w:firstLine="0"/>
              <w:jc w:val="left"/>
              <w:rPr>
                <w:sz w:val="18"/>
                <w:szCs w:val="18"/>
              </w:rPr>
            </w:pPr>
            <w:r>
              <w:rPr>
                <w:sz w:val="18"/>
                <w:szCs w:val="18"/>
              </w:rPr>
              <w:t>40 (22.1%)</w:t>
            </w:r>
          </w:p>
          <w:p w:rsidR="00B31827" w:rsidRDefault="00B31827" w:rsidP="00F040EA">
            <w:pPr>
              <w:spacing w:after="0" w:line="240" w:lineRule="auto"/>
              <w:ind w:left="64" w:firstLine="0"/>
              <w:jc w:val="left"/>
              <w:rPr>
                <w:sz w:val="18"/>
                <w:szCs w:val="18"/>
              </w:rPr>
            </w:pPr>
            <w:r>
              <w:rPr>
                <w:sz w:val="18"/>
                <w:szCs w:val="18"/>
              </w:rPr>
              <w:t>62 (34.3%)</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24 (34.8%)</w:t>
            </w:r>
          </w:p>
          <w:p w:rsidR="00B31827" w:rsidRDefault="00B31827" w:rsidP="00F040EA">
            <w:pPr>
              <w:spacing w:after="0" w:line="240" w:lineRule="auto"/>
              <w:ind w:firstLine="0"/>
              <w:jc w:val="left"/>
              <w:rPr>
                <w:sz w:val="18"/>
                <w:szCs w:val="18"/>
              </w:rPr>
            </w:pPr>
            <w:r>
              <w:rPr>
                <w:sz w:val="18"/>
                <w:szCs w:val="18"/>
              </w:rPr>
              <w:t>11 (15.9%)</w:t>
            </w:r>
          </w:p>
          <w:p w:rsidR="00B31827" w:rsidRDefault="00B31827" w:rsidP="00F040EA">
            <w:pPr>
              <w:spacing w:after="0" w:line="240" w:lineRule="auto"/>
              <w:ind w:firstLine="0"/>
              <w:jc w:val="left"/>
              <w:rPr>
                <w:sz w:val="18"/>
                <w:szCs w:val="18"/>
              </w:rPr>
            </w:pPr>
            <w:r>
              <w:rPr>
                <w:sz w:val="18"/>
                <w:szCs w:val="18"/>
              </w:rPr>
              <w:t>34 (49.3%)</w:t>
            </w:r>
          </w:p>
        </w:tc>
        <w:tc>
          <w:tcPr>
            <w:tcW w:w="1710" w:type="dxa"/>
          </w:tcPr>
          <w:p w:rsidR="00B31827" w:rsidRDefault="00B31827" w:rsidP="00F040EA">
            <w:pPr>
              <w:spacing w:after="0" w:line="240" w:lineRule="auto"/>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1.1 (0.5–2.5)</w:t>
            </w:r>
          </w:p>
          <w:p w:rsidR="00B31827" w:rsidRDefault="00B31827" w:rsidP="00F040EA">
            <w:pPr>
              <w:spacing w:after="0" w:line="240" w:lineRule="auto"/>
              <w:ind w:left="342" w:firstLine="0"/>
              <w:jc w:val="left"/>
              <w:rPr>
                <w:sz w:val="18"/>
                <w:szCs w:val="18"/>
              </w:rPr>
            </w:pPr>
            <w:r>
              <w:rPr>
                <w:sz w:val="18"/>
                <w:szCs w:val="18"/>
              </w:rPr>
              <w:t>0.6 (0.3–1.0)</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0.093</w:t>
            </w:r>
          </w:p>
        </w:tc>
      </w:tr>
      <w:tr w:rsidR="00B31827" w:rsidTr="00F040EA">
        <w:trPr>
          <w:trHeight w:val="810"/>
        </w:trPr>
        <w:tc>
          <w:tcPr>
            <w:tcW w:w="1710" w:type="dxa"/>
            <w:hideMark/>
          </w:tcPr>
          <w:p w:rsidR="00B31827" w:rsidRPr="00DF207A" w:rsidRDefault="00B31827" w:rsidP="00F040EA">
            <w:pPr>
              <w:spacing w:after="0" w:line="240" w:lineRule="auto"/>
              <w:ind w:left="-18" w:firstLine="0"/>
              <w:jc w:val="left"/>
              <w:rPr>
                <w:bCs/>
                <w:sz w:val="18"/>
                <w:szCs w:val="18"/>
              </w:rPr>
            </w:pPr>
            <w:r w:rsidRPr="00DF207A">
              <w:rPr>
                <w:bCs/>
                <w:sz w:val="18"/>
                <w:szCs w:val="18"/>
              </w:rPr>
              <w:t>Residency place</w:t>
            </w:r>
          </w:p>
          <w:p w:rsidR="00B31827" w:rsidRPr="00DF207A" w:rsidRDefault="00B31827" w:rsidP="00F040EA">
            <w:pPr>
              <w:spacing w:after="0" w:line="240" w:lineRule="auto"/>
              <w:ind w:left="128" w:firstLine="0"/>
              <w:jc w:val="left"/>
              <w:rPr>
                <w:sz w:val="18"/>
                <w:szCs w:val="18"/>
              </w:rPr>
            </w:pPr>
            <w:r w:rsidRPr="00DF207A">
              <w:rPr>
                <w:sz w:val="18"/>
                <w:szCs w:val="18"/>
              </w:rPr>
              <w:t>City</w:t>
            </w:r>
          </w:p>
          <w:p w:rsidR="00B31827" w:rsidRPr="00DF207A" w:rsidRDefault="00B31827" w:rsidP="00F040EA">
            <w:pPr>
              <w:spacing w:after="0" w:line="240" w:lineRule="auto"/>
              <w:ind w:left="128" w:firstLine="0"/>
              <w:jc w:val="left"/>
              <w:rPr>
                <w:sz w:val="18"/>
                <w:szCs w:val="18"/>
              </w:rPr>
            </w:pPr>
            <w:r w:rsidRPr="00DF207A">
              <w:rPr>
                <w:sz w:val="18"/>
                <w:szCs w:val="18"/>
              </w:rPr>
              <w:t>Village and refugee camp</w:t>
            </w:r>
          </w:p>
        </w:tc>
        <w:tc>
          <w:tcPr>
            <w:tcW w:w="1440" w:type="dxa"/>
          </w:tcPr>
          <w:p w:rsidR="00B31827" w:rsidRPr="00DF207A" w:rsidRDefault="00B31827" w:rsidP="00F040EA">
            <w:pPr>
              <w:spacing w:after="0" w:line="240" w:lineRule="auto"/>
              <w:jc w:val="left"/>
              <w:rPr>
                <w:sz w:val="18"/>
                <w:szCs w:val="18"/>
              </w:rPr>
            </w:pPr>
          </w:p>
          <w:p w:rsidR="00B31827" w:rsidRPr="00DF207A" w:rsidRDefault="00B31827" w:rsidP="00F040EA">
            <w:pPr>
              <w:spacing w:after="0" w:line="240" w:lineRule="auto"/>
              <w:ind w:firstLine="0"/>
              <w:jc w:val="left"/>
              <w:rPr>
                <w:sz w:val="18"/>
                <w:szCs w:val="18"/>
              </w:rPr>
            </w:pPr>
            <w:r w:rsidRPr="00DF207A">
              <w:rPr>
                <w:sz w:val="18"/>
                <w:szCs w:val="18"/>
              </w:rPr>
              <w:t>121 (48.4)</w:t>
            </w:r>
          </w:p>
          <w:p w:rsidR="00B31827" w:rsidRPr="00DF207A" w:rsidRDefault="00B31827" w:rsidP="00F040EA">
            <w:pPr>
              <w:spacing w:after="0" w:line="240" w:lineRule="auto"/>
              <w:ind w:firstLine="0"/>
              <w:jc w:val="left"/>
              <w:rPr>
                <w:sz w:val="18"/>
                <w:szCs w:val="18"/>
              </w:rPr>
            </w:pPr>
            <w:r w:rsidRPr="00DF207A">
              <w:rPr>
                <w:sz w:val="18"/>
                <w:szCs w:val="18"/>
              </w:rPr>
              <w:t>129 (51.6)</w:t>
            </w:r>
          </w:p>
        </w:tc>
        <w:tc>
          <w:tcPr>
            <w:tcW w:w="1440" w:type="dxa"/>
          </w:tcPr>
          <w:p w:rsidR="00B31827" w:rsidRDefault="00B31827" w:rsidP="00F040EA">
            <w:pPr>
              <w:spacing w:after="0" w:line="240" w:lineRule="auto"/>
              <w:ind w:left="64"/>
              <w:jc w:val="left"/>
              <w:rPr>
                <w:sz w:val="18"/>
                <w:szCs w:val="18"/>
              </w:rPr>
            </w:pPr>
          </w:p>
          <w:p w:rsidR="00B31827" w:rsidRDefault="00B31827" w:rsidP="00F040EA">
            <w:pPr>
              <w:spacing w:after="0" w:line="240" w:lineRule="auto"/>
              <w:ind w:left="64" w:firstLine="0"/>
              <w:jc w:val="left"/>
              <w:rPr>
                <w:sz w:val="18"/>
                <w:szCs w:val="18"/>
              </w:rPr>
            </w:pPr>
            <w:r>
              <w:rPr>
                <w:sz w:val="18"/>
                <w:szCs w:val="18"/>
              </w:rPr>
              <w:t>93 (51.4%)</w:t>
            </w:r>
          </w:p>
          <w:p w:rsidR="00B31827" w:rsidRDefault="00B31827" w:rsidP="00F040EA">
            <w:pPr>
              <w:spacing w:after="0" w:line="240" w:lineRule="auto"/>
              <w:ind w:left="64" w:firstLine="0"/>
              <w:jc w:val="left"/>
              <w:rPr>
                <w:sz w:val="18"/>
                <w:szCs w:val="18"/>
              </w:rPr>
            </w:pPr>
            <w:r>
              <w:rPr>
                <w:sz w:val="18"/>
                <w:szCs w:val="18"/>
              </w:rPr>
              <w:t>88 (48.6%)</w:t>
            </w:r>
          </w:p>
        </w:tc>
        <w:tc>
          <w:tcPr>
            <w:tcW w:w="1350" w:type="dxa"/>
            <w:gridSpan w:val="2"/>
          </w:tcPr>
          <w:p w:rsidR="00B31827" w:rsidRDefault="00B31827" w:rsidP="00F040EA">
            <w:pPr>
              <w:spacing w:after="0" w:line="240" w:lineRule="auto"/>
              <w:jc w:val="left"/>
              <w:rPr>
                <w:sz w:val="18"/>
                <w:szCs w:val="18"/>
              </w:rPr>
            </w:pPr>
          </w:p>
          <w:p w:rsidR="00B31827" w:rsidRDefault="00B31827" w:rsidP="00F040EA">
            <w:pPr>
              <w:spacing w:after="0" w:line="240" w:lineRule="auto"/>
              <w:ind w:firstLine="0"/>
              <w:jc w:val="left"/>
              <w:rPr>
                <w:sz w:val="18"/>
                <w:szCs w:val="18"/>
              </w:rPr>
            </w:pPr>
            <w:r>
              <w:rPr>
                <w:sz w:val="18"/>
                <w:szCs w:val="18"/>
              </w:rPr>
              <w:t>28 (40.6%)</w:t>
            </w:r>
          </w:p>
          <w:p w:rsidR="00B31827" w:rsidRDefault="00B31827" w:rsidP="00F040EA">
            <w:pPr>
              <w:spacing w:after="0" w:line="240" w:lineRule="auto"/>
              <w:ind w:firstLine="0"/>
              <w:jc w:val="left"/>
              <w:rPr>
                <w:sz w:val="18"/>
                <w:szCs w:val="18"/>
              </w:rPr>
            </w:pPr>
            <w:r>
              <w:rPr>
                <w:sz w:val="18"/>
                <w:szCs w:val="18"/>
              </w:rPr>
              <w:t>41 (59.4%)</w:t>
            </w:r>
          </w:p>
        </w:tc>
        <w:tc>
          <w:tcPr>
            <w:tcW w:w="1710" w:type="dxa"/>
          </w:tcPr>
          <w:p w:rsidR="00B31827" w:rsidRDefault="00B31827" w:rsidP="00F040EA">
            <w:pPr>
              <w:spacing w:after="0" w:line="240" w:lineRule="auto"/>
              <w:jc w:val="left"/>
              <w:rPr>
                <w:sz w:val="18"/>
                <w:szCs w:val="18"/>
              </w:rPr>
            </w:pPr>
          </w:p>
          <w:p w:rsidR="00B31827" w:rsidRDefault="00B31827" w:rsidP="00F040EA">
            <w:pPr>
              <w:spacing w:after="0" w:line="240" w:lineRule="auto"/>
              <w:ind w:left="-18" w:firstLine="36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0.6 (0.4–1.1)</w:t>
            </w:r>
          </w:p>
        </w:tc>
        <w:tc>
          <w:tcPr>
            <w:tcW w:w="810" w:type="dxa"/>
          </w:tcPr>
          <w:p w:rsidR="00B31827" w:rsidRDefault="00B31827" w:rsidP="00F040EA">
            <w:pPr>
              <w:spacing w:after="0" w:line="240" w:lineRule="auto"/>
              <w:jc w:val="left"/>
              <w:rPr>
                <w:sz w:val="18"/>
                <w:szCs w:val="18"/>
              </w:rPr>
            </w:pPr>
          </w:p>
          <w:p w:rsidR="00B31827" w:rsidRDefault="00B31827" w:rsidP="00F040EA">
            <w:pPr>
              <w:spacing w:after="0" w:line="240" w:lineRule="auto"/>
              <w:ind w:firstLine="0"/>
              <w:jc w:val="left"/>
              <w:rPr>
                <w:sz w:val="18"/>
                <w:szCs w:val="18"/>
              </w:rPr>
            </w:pPr>
            <w:r>
              <w:rPr>
                <w:sz w:val="18"/>
                <w:szCs w:val="18"/>
              </w:rPr>
              <w:t>0.128</w:t>
            </w:r>
          </w:p>
        </w:tc>
      </w:tr>
      <w:tr w:rsidR="00B31827" w:rsidTr="00F040EA">
        <w:trPr>
          <w:trHeight w:val="423"/>
        </w:trPr>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Additional chronic diseases number</w:t>
            </w:r>
          </w:p>
        </w:tc>
        <w:tc>
          <w:tcPr>
            <w:tcW w:w="1440" w:type="dxa"/>
            <w:hideMark/>
          </w:tcPr>
          <w:p w:rsidR="00B31827" w:rsidRPr="00DF207A" w:rsidRDefault="00B31827" w:rsidP="00F040EA">
            <w:pPr>
              <w:spacing w:after="0" w:line="240" w:lineRule="auto"/>
              <w:ind w:firstLine="0"/>
              <w:jc w:val="left"/>
              <w:rPr>
                <w:sz w:val="18"/>
                <w:szCs w:val="18"/>
              </w:rPr>
            </w:pPr>
            <w:r w:rsidRPr="00DF207A">
              <w:rPr>
                <w:sz w:val="18"/>
                <w:szCs w:val="18"/>
              </w:rPr>
              <w:t>3.0 (2.0–5.3)</w:t>
            </w:r>
          </w:p>
        </w:tc>
        <w:tc>
          <w:tcPr>
            <w:tcW w:w="1440" w:type="dxa"/>
            <w:hideMark/>
          </w:tcPr>
          <w:p w:rsidR="00B31827" w:rsidRDefault="00B31827" w:rsidP="00F040EA">
            <w:pPr>
              <w:spacing w:after="0" w:line="240" w:lineRule="auto"/>
              <w:ind w:left="-18" w:firstLine="0"/>
              <w:jc w:val="left"/>
              <w:rPr>
                <w:sz w:val="18"/>
                <w:szCs w:val="18"/>
              </w:rPr>
            </w:pPr>
            <w:r>
              <w:rPr>
                <w:sz w:val="18"/>
                <w:szCs w:val="18"/>
              </w:rPr>
              <w:t>3.0 (2.0–5.0)</w:t>
            </w:r>
          </w:p>
        </w:tc>
        <w:tc>
          <w:tcPr>
            <w:tcW w:w="1350" w:type="dxa"/>
            <w:gridSpan w:val="2"/>
            <w:hideMark/>
          </w:tcPr>
          <w:p w:rsidR="00B31827" w:rsidRDefault="00B31827" w:rsidP="00F040EA">
            <w:pPr>
              <w:spacing w:after="0" w:line="240" w:lineRule="auto"/>
              <w:ind w:firstLine="0"/>
              <w:jc w:val="left"/>
              <w:rPr>
                <w:sz w:val="18"/>
                <w:szCs w:val="18"/>
              </w:rPr>
            </w:pPr>
            <w:r>
              <w:rPr>
                <w:sz w:val="18"/>
                <w:szCs w:val="18"/>
              </w:rPr>
              <w:t>3.0 (1.0–6.0)</w:t>
            </w:r>
          </w:p>
        </w:tc>
        <w:tc>
          <w:tcPr>
            <w:tcW w:w="1710" w:type="dxa"/>
            <w:hideMark/>
          </w:tcPr>
          <w:p w:rsidR="00B31827" w:rsidRDefault="00B31827" w:rsidP="00F040EA">
            <w:pPr>
              <w:spacing w:after="0" w:line="240" w:lineRule="auto"/>
              <w:ind w:left="342" w:firstLine="0"/>
              <w:jc w:val="left"/>
              <w:rPr>
                <w:sz w:val="18"/>
                <w:szCs w:val="18"/>
              </w:rPr>
            </w:pPr>
            <w:r>
              <w:rPr>
                <w:sz w:val="18"/>
                <w:szCs w:val="18"/>
              </w:rPr>
              <w:t>1.0 (0.9–1.1)</w:t>
            </w:r>
          </w:p>
        </w:tc>
        <w:tc>
          <w:tcPr>
            <w:tcW w:w="810" w:type="dxa"/>
            <w:hideMark/>
          </w:tcPr>
          <w:p w:rsidR="00B31827" w:rsidRDefault="00B31827" w:rsidP="00F040EA">
            <w:pPr>
              <w:spacing w:after="0" w:line="240" w:lineRule="auto"/>
              <w:ind w:firstLine="0"/>
              <w:jc w:val="left"/>
              <w:rPr>
                <w:sz w:val="18"/>
                <w:szCs w:val="18"/>
              </w:rPr>
            </w:pPr>
            <w:r>
              <w:rPr>
                <w:sz w:val="18"/>
                <w:szCs w:val="18"/>
              </w:rPr>
              <w:t>0.585</w:t>
            </w:r>
          </w:p>
        </w:tc>
      </w:tr>
      <w:tr w:rsidR="00B31827" w:rsidTr="00F040EA">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B</w:t>
            </w:r>
            <w:r>
              <w:rPr>
                <w:bCs/>
                <w:sz w:val="18"/>
                <w:szCs w:val="18"/>
              </w:rPr>
              <w:t xml:space="preserve">ody </w:t>
            </w:r>
            <w:r w:rsidRPr="00DF207A">
              <w:rPr>
                <w:bCs/>
                <w:sz w:val="18"/>
                <w:szCs w:val="18"/>
              </w:rPr>
              <w:t>M</w:t>
            </w:r>
            <w:r>
              <w:rPr>
                <w:bCs/>
                <w:sz w:val="18"/>
                <w:szCs w:val="18"/>
              </w:rPr>
              <w:t>ass Index</w:t>
            </w:r>
          </w:p>
          <w:p w:rsidR="00B31827" w:rsidRPr="00DF207A" w:rsidRDefault="00B31827" w:rsidP="00F040EA">
            <w:pPr>
              <w:spacing w:after="0" w:line="240" w:lineRule="auto"/>
              <w:ind w:left="128" w:firstLine="0"/>
              <w:jc w:val="left"/>
              <w:rPr>
                <w:sz w:val="18"/>
                <w:szCs w:val="18"/>
              </w:rPr>
            </w:pPr>
            <w:r w:rsidRPr="00DF207A">
              <w:rPr>
                <w:sz w:val="18"/>
                <w:szCs w:val="18"/>
              </w:rPr>
              <w:t>Normal</w:t>
            </w:r>
          </w:p>
          <w:p w:rsidR="00B31827" w:rsidRPr="00DF207A" w:rsidRDefault="00B31827" w:rsidP="00F040EA">
            <w:pPr>
              <w:spacing w:after="0" w:line="240" w:lineRule="auto"/>
              <w:ind w:left="128" w:firstLine="0"/>
              <w:jc w:val="left"/>
              <w:rPr>
                <w:sz w:val="18"/>
                <w:szCs w:val="18"/>
              </w:rPr>
            </w:pPr>
            <w:r w:rsidRPr="00DF207A">
              <w:rPr>
                <w:sz w:val="18"/>
                <w:szCs w:val="18"/>
              </w:rPr>
              <w:t>Overweight</w:t>
            </w:r>
          </w:p>
          <w:p w:rsidR="00B31827" w:rsidRPr="00DF207A" w:rsidRDefault="00B31827" w:rsidP="00F040EA">
            <w:pPr>
              <w:spacing w:after="0" w:line="240" w:lineRule="auto"/>
              <w:ind w:left="128" w:firstLine="0"/>
              <w:jc w:val="left"/>
              <w:rPr>
                <w:sz w:val="18"/>
                <w:szCs w:val="18"/>
              </w:rPr>
            </w:pPr>
            <w:r w:rsidRPr="00DF207A">
              <w:rPr>
                <w:sz w:val="18"/>
                <w:szCs w:val="18"/>
              </w:rPr>
              <w:t>Obese</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left="68" w:firstLine="0"/>
              <w:jc w:val="left"/>
              <w:rPr>
                <w:sz w:val="18"/>
                <w:szCs w:val="18"/>
              </w:rPr>
            </w:pPr>
            <w:r w:rsidRPr="00DF207A">
              <w:rPr>
                <w:sz w:val="18"/>
                <w:szCs w:val="18"/>
              </w:rPr>
              <w:t>40 (16.0)</w:t>
            </w:r>
          </w:p>
          <w:p w:rsidR="00B31827" w:rsidRPr="00DF207A" w:rsidRDefault="00B31827" w:rsidP="00F040EA">
            <w:pPr>
              <w:spacing w:after="0" w:line="240" w:lineRule="auto"/>
              <w:ind w:left="68" w:firstLine="0"/>
              <w:jc w:val="left"/>
              <w:rPr>
                <w:sz w:val="18"/>
                <w:szCs w:val="18"/>
              </w:rPr>
            </w:pPr>
            <w:r w:rsidRPr="00DF207A">
              <w:rPr>
                <w:sz w:val="18"/>
                <w:szCs w:val="18"/>
              </w:rPr>
              <w:t>97 (38.8)</w:t>
            </w:r>
          </w:p>
          <w:p w:rsidR="00B31827" w:rsidRPr="00DF207A" w:rsidRDefault="00B31827" w:rsidP="00F040EA">
            <w:pPr>
              <w:spacing w:after="0" w:line="240" w:lineRule="auto"/>
              <w:ind w:firstLine="0"/>
              <w:jc w:val="left"/>
              <w:rPr>
                <w:sz w:val="18"/>
                <w:szCs w:val="18"/>
              </w:rPr>
            </w:pPr>
            <w:r w:rsidRPr="00DF207A">
              <w:rPr>
                <w:sz w:val="18"/>
                <w:szCs w:val="18"/>
              </w:rPr>
              <w:t>113 (45.2)</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64" w:firstLine="0"/>
              <w:jc w:val="left"/>
              <w:rPr>
                <w:sz w:val="18"/>
                <w:szCs w:val="18"/>
              </w:rPr>
            </w:pPr>
            <w:r>
              <w:rPr>
                <w:sz w:val="18"/>
                <w:szCs w:val="18"/>
              </w:rPr>
              <w:t>31 (17.1%)</w:t>
            </w:r>
          </w:p>
          <w:p w:rsidR="00B31827" w:rsidRDefault="00B31827" w:rsidP="00F040EA">
            <w:pPr>
              <w:spacing w:after="0" w:line="240" w:lineRule="auto"/>
              <w:ind w:left="64" w:firstLine="0"/>
              <w:jc w:val="left"/>
              <w:rPr>
                <w:sz w:val="18"/>
                <w:szCs w:val="18"/>
              </w:rPr>
            </w:pPr>
            <w:r>
              <w:rPr>
                <w:sz w:val="18"/>
                <w:szCs w:val="18"/>
              </w:rPr>
              <w:t>67 (37.0%)</w:t>
            </w:r>
          </w:p>
          <w:p w:rsidR="00B31827" w:rsidRDefault="00B31827" w:rsidP="00F040EA">
            <w:pPr>
              <w:spacing w:after="0" w:line="240" w:lineRule="auto"/>
              <w:ind w:left="64" w:firstLine="0"/>
              <w:jc w:val="left"/>
              <w:rPr>
                <w:sz w:val="18"/>
                <w:szCs w:val="18"/>
              </w:rPr>
            </w:pPr>
            <w:r>
              <w:rPr>
                <w:sz w:val="18"/>
                <w:szCs w:val="18"/>
              </w:rPr>
              <w:t>83 (45.9%)</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72" w:firstLine="0"/>
              <w:jc w:val="left"/>
              <w:rPr>
                <w:sz w:val="18"/>
                <w:szCs w:val="18"/>
              </w:rPr>
            </w:pPr>
            <w:r>
              <w:rPr>
                <w:sz w:val="18"/>
                <w:szCs w:val="18"/>
              </w:rPr>
              <w:t>9 (13.0%)</w:t>
            </w:r>
          </w:p>
          <w:p w:rsidR="00B31827" w:rsidRDefault="00B31827" w:rsidP="00F040EA">
            <w:pPr>
              <w:spacing w:after="0" w:line="240" w:lineRule="auto"/>
              <w:ind w:firstLine="0"/>
              <w:jc w:val="left"/>
              <w:rPr>
                <w:sz w:val="18"/>
                <w:szCs w:val="18"/>
              </w:rPr>
            </w:pPr>
            <w:r>
              <w:rPr>
                <w:sz w:val="18"/>
                <w:szCs w:val="18"/>
              </w:rPr>
              <w:t>30 (43.5%)</w:t>
            </w:r>
          </w:p>
          <w:p w:rsidR="00B31827" w:rsidRDefault="00B31827" w:rsidP="00F040EA">
            <w:pPr>
              <w:spacing w:after="0" w:line="240" w:lineRule="auto"/>
              <w:ind w:firstLine="0"/>
              <w:jc w:val="left"/>
              <w:rPr>
                <w:sz w:val="18"/>
                <w:szCs w:val="18"/>
              </w:rPr>
            </w:pPr>
            <w:r>
              <w:rPr>
                <w:sz w:val="18"/>
                <w:szCs w:val="18"/>
              </w:rPr>
              <w:t>30 (43.5%)</w:t>
            </w:r>
          </w:p>
        </w:tc>
        <w:tc>
          <w:tcPr>
            <w:tcW w:w="1710" w:type="dxa"/>
          </w:tcPr>
          <w:p w:rsidR="00B31827" w:rsidRDefault="00B31827" w:rsidP="00F040EA">
            <w:pPr>
              <w:spacing w:after="0" w:line="240" w:lineRule="auto"/>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0.6 (0.3–1.5)</w:t>
            </w:r>
          </w:p>
          <w:p w:rsidR="00B31827" w:rsidRDefault="00B31827" w:rsidP="00F040EA">
            <w:pPr>
              <w:spacing w:after="0" w:line="240" w:lineRule="auto"/>
              <w:ind w:left="342" w:firstLine="0"/>
              <w:jc w:val="left"/>
              <w:rPr>
                <w:sz w:val="18"/>
                <w:szCs w:val="18"/>
              </w:rPr>
            </w:pPr>
            <w:r>
              <w:rPr>
                <w:sz w:val="18"/>
                <w:szCs w:val="18"/>
              </w:rPr>
              <w:t>0.8 (0.3–1.9)</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0.573</w:t>
            </w:r>
          </w:p>
        </w:tc>
      </w:tr>
      <w:tr w:rsidR="00B31827" w:rsidTr="00F040EA">
        <w:trPr>
          <w:trHeight w:val="117"/>
        </w:trPr>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Diabetes duration</w:t>
            </w:r>
          </w:p>
        </w:tc>
        <w:tc>
          <w:tcPr>
            <w:tcW w:w="1440" w:type="dxa"/>
            <w:hideMark/>
          </w:tcPr>
          <w:p w:rsidR="00B31827" w:rsidRPr="00DF207A" w:rsidRDefault="00B31827" w:rsidP="00F040EA">
            <w:pPr>
              <w:spacing w:after="0" w:line="240" w:lineRule="auto"/>
              <w:ind w:firstLine="0"/>
              <w:jc w:val="left"/>
              <w:rPr>
                <w:sz w:val="18"/>
                <w:szCs w:val="18"/>
              </w:rPr>
            </w:pPr>
            <w:r w:rsidRPr="00DF207A">
              <w:rPr>
                <w:sz w:val="18"/>
                <w:szCs w:val="18"/>
              </w:rPr>
              <w:t>13.9±7.8</w:t>
            </w:r>
          </w:p>
        </w:tc>
        <w:tc>
          <w:tcPr>
            <w:tcW w:w="1440" w:type="dxa"/>
            <w:hideMark/>
          </w:tcPr>
          <w:p w:rsidR="00B31827" w:rsidRDefault="00B31827" w:rsidP="00F040EA">
            <w:pPr>
              <w:spacing w:after="0" w:line="240" w:lineRule="auto"/>
              <w:ind w:firstLine="0"/>
              <w:jc w:val="left"/>
              <w:rPr>
                <w:sz w:val="18"/>
                <w:szCs w:val="18"/>
              </w:rPr>
            </w:pPr>
            <w:r>
              <w:rPr>
                <w:sz w:val="18"/>
                <w:szCs w:val="18"/>
              </w:rPr>
              <w:t>14.6±8.0</w:t>
            </w:r>
          </w:p>
        </w:tc>
        <w:tc>
          <w:tcPr>
            <w:tcW w:w="1350" w:type="dxa"/>
            <w:gridSpan w:val="2"/>
            <w:hideMark/>
          </w:tcPr>
          <w:p w:rsidR="00B31827" w:rsidRDefault="00B31827" w:rsidP="00F040EA">
            <w:pPr>
              <w:spacing w:after="0" w:line="240" w:lineRule="auto"/>
              <w:ind w:firstLine="0"/>
              <w:jc w:val="left"/>
              <w:rPr>
                <w:sz w:val="18"/>
                <w:szCs w:val="18"/>
              </w:rPr>
            </w:pPr>
            <w:r>
              <w:rPr>
                <w:sz w:val="18"/>
                <w:szCs w:val="18"/>
              </w:rPr>
              <w:t>12.0±7.0</w:t>
            </w:r>
          </w:p>
        </w:tc>
        <w:tc>
          <w:tcPr>
            <w:tcW w:w="1710" w:type="dxa"/>
            <w:hideMark/>
          </w:tcPr>
          <w:p w:rsidR="00B31827" w:rsidRDefault="00B31827" w:rsidP="00F040EA">
            <w:pPr>
              <w:spacing w:after="0" w:line="240" w:lineRule="auto"/>
              <w:ind w:firstLine="0"/>
              <w:jc w:val="left"/>
              <w:rPr>
                <w:sz w:val="18"/>
                <w:szCs w:val="18"/>
              </w:rPr>
            </w:pPr>
            <w:r>
              <w:rPr>
                <w:sz w:val="18"/>
                <w:szCs w:val="18"/>
              </w:rPr>
              <w:t xml:space="preserve">      1.05 (1.00–1.10)</w:t>
            </w:r>
          </w:p>
        </w:tc>
        <w:tc>
          <w:tcPr>
            <w:tcW w:w="810" w:type="dxa"/>
            <w:hideMark/>
          </w:tcPr>
          <w:p w:rsidR="00B31827" w:rsidRDefault="00B31827" w:rsidP="00F040EA">
            <w:pPr>
              <w:spacing w:after="0" w:line="240" w:lineRule="auto"/>
              <w:ind w:firstLine="0"/>
              <w:jc w:val="left"/>
              <w:rPr>
                <w:sz w:val="18"/>
                <w:szCs w:val="18"/>
              </w:rPr>
            </w:pPr>
            <w:r>
              <w:rPr>
                <w:sz w:val="18"/>
                <w:szCs w:val="18"/>
              </w:rPr>
              <w:t>0.018</w:t>
            </w:r>
          </w:p>
        </w:tc>
      </w:tr>
      <w:tr w:rsidR="00B31827" w:rsidTr="00F040EA">
        <w:trPr>
          <w:trHeight w:val="544"/>
        </w:trPr>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Smoking status</w:t>
            </w:r>
          </w:p>
          <w:p w:rsidR="00B31827" w:rsidRPr="00DF207A" w:rsidRDefault="00B31827" w:rsidP="00F040EA">
            <w:pPr>
              <w:spacing w:after="0" w:line="240" w:lineRule="auto"/>
              <w:ind w:left="128" w:firstLine="0"/>
              <w:jc w:val="left"/>
              <w:rPr>
                <w:sz w:val="18"/>
                <w:szCs w:val="18"/>
              </w:rPr>
            </w:pPr>
            <w:r w:rsidRPr="00DF207A">
              <w:rPr>
                <w:sz w:val="18"/>
                <w:szCs w:val="18"/>
              </w:rPr>
              <w:t>Smoker</w:t>
            </w:r>
          </w:p>
          <w:p w:rsidR="00B31827" w:rsidRPr="00DF207A" w:rsidRDefault="00B31827" w:rsidP="00F040EA">
            <w:pPr>
              <w:spacing w:after="0" w:line="240" w:lineRule="auto"/>
              <w:ind w:left="128" w:firstLine="0"/>
              <w:jc w:val="left"/>
              <w:rPr>
                <w:sz w:val="18"/>
                <w:szCs w:val="18"/>
              </w:rPr>
            </w:pPr>
            <w:r w:rsidRPr="00DF207A">
              <w:rPr>
                <w:sz w:val="18"/>
                <w:szCs w:val="18"/>
              </w:rPr>
              <w:t>Non–smoker</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left="72" w:firstLine="0"/>
              <w:jc w:val="left"/>
              <w:rPr>
                <w:sz w:val="18"/>
                <w:szCs w:val="18"/>
              </w:rPr>
            </w:pPr>
            <w:r w:rsidRPr="00DF207A">
              <w:rPr>
                <w:sz w:val="18"/>
                <w:szCs w:val="18"/>
              </w:rPr>
              <w:t>94 (37.6)</w:t>
            </w:r>
          </w:p>
          <w:p w:rsidR="00B31827" w:rsidRPr="00DF207A" w:rsidRDefault="00B31827" w:rsidP="00F040EA">
            <w:pPr>
              <w:spacing w:after="0" w:line="240" w:lineRule="auto"/>
              <w:ind w:firstLine="0"/>
              <w:jc w:val="left"/>
              <w:rPr>
                <w:sz w:val="18"/>
                <w:szCs w:val="18"/>
              </w:rPr>
            </w:pPr>
            <w:r w:rsidRPr="00DF207A">
              <w:rPr>
                <w:sz w:val="18"/>
                <w:szCs w:val="18"/>
              </w:rPr>
              <w:t>156 (62.4)</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64" w:firstLine="0"/>
              <w:jc w:val="left"/>
              <w:rPr>
                <w:sz w:val="18"/>
                <w:szCs w:val="18"/>
              </w:rPr>
            </w:pPr>
            <w:r>
              <w:rPr>
                <w:sz w:val="18"/>
                <w:szCs w:val="18"/>
              </w:rPr>
              <w:t>70 (38.7%)</w:t>
            </w:r>
          </w:p>
          <w:p w:rsidR="00B31827" w:rsidRDefault="00B31827" w:rsidP="00F040EA">
            <w:pPr>
              <w:spacing w:after="0" w:line="240" w:lineRule="auto"/>
              <w:ind w:firstLine="0"/>
              <w:jc w:val="left"/>
              <w:rPr>
                <w:sz w:val="18"/>
                <w:szCs w:val="18"/>
              </w:rPr>
            </w:pPr>
            <w:r>
              <w:rPr>
                <w:sz w:val="18"/>
                <w:szCs w:val="18"/>
              </w:rPr>
              <w:t>111 (61.3%)</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24 (34.8%)</w:t>
            </w:r>
          </w:p>
          <w:p w:rsidR="00B31827" w:rsidRDefault="00B31827" w:rsidP="00F040EA">
            <w:pPr>
              <w:spacing w:after="0" w:line="240" w:lineRule="auto"/>
              <w:ind w:firstLine="0"/>
              <w:jc w:val="left"/>
              <w:rPr>
                <w:sz w:val="18"/>
                <w:szCs w:val="18"/>
              </w:rPr>
            </w:pPr>
            <w:r>
              <w:rPr>
                <w:sz w:val="18"/>
                <w:szCs w:val="18"/>
              </w:rPr>
              <w:t>45 (65.2%)</w:t>
            </w:r>
          </w:p>
        </w:tc>
        <w:tc>
          <w:tcPr>
            <w:tcW w:w="17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342" w:firstLine="0"/>
              <w:jc w:val="left"/>
              <w:rPr>
                <w:sz w:val="18"/>
                <w:szCs w:val="18"/>
              </w:rPr>
            </w:pPr>
            <w:r>
              <w:rPr>
                <w:sz w:val="18"/>
                <w:szCs w:val="18"/>
              </w:rPr>
              <w:t>1.2 (0.7–2.1)</w:t>
            </w:r>
          </w:p>
          <w:p w:rsidR="00B31827" w:rsidRDefault="00B31827" w:rsidP="00F040EA">
            <w:pPr>
              <w:spacing w:after="0" w:line="240" w:lineRule="auto"/>
              <w:ind w:left="342" w:firstLine="0"/>
              <w:jc w:val="left"/>
              <w:rPr>
                <w:sz w:val="18"/>
                <w:szCs w:val="18"/>
              </w:rPr>
            </w:pPr>
            <w:r>
              <w:rPr>
                <w:sz w:val="18"/>
                <w:szCs w:val="18"/>
              </w:rPr>
              <w:t>Reference (1)</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0.570</w:t>
            </w:r>
          </w:p>
          <w:p w:rsidR="00B31827" w:rsidRDefault="00B31827" w:rsidP="00F040EA">
            <w:pPr>
              <w:spacing w:after="0" w:line="240" w:lineRule="auto"/>
              <w:jc w:val="left"/>
              <w:rPr>
                <w:sz w:val="18"/>
                <w:szCs w:val="18"/>
              </w:rPr>
            </w:pPr>
          </w:p>
        </w:tc>
      </w:tr>
      <w:tr w:rsidR="00B31827" w:rsidTr="00F040EA">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Medications number</w:t>
            </w:r>
          </w:p>
        </w:tc>
        <w:tc>
          <w:tcPr>
            <w:tcW w:w="1440" w:type="dxa"/>
            <w:hideMark/>
          </w:tcPr>
          <w:p w:rsidR="00B31827" w:rsidRPr="00DF207A" w:rsidRDefault="00B31827" w:rsidP="00F040EA">
            <w:pPr>
              <w:spacing w:after="0" w:line="240" w:lineRule="auto"/>
              <w:ind w:firstLine="0"/>
              <w:jc w:val="left"/>
              <w:rPr>
                <w:sz w:val="18"/>
                <w:szCs w:val="18"/>
              </w:rPr>
            </w:pPr>
            <w:r w:rsidRPr="00DF207A">
              <w:rPr>
                <w:sz w:val="18"/>
                <w:szCs w:val="18"/>
              </w:rPr>
              <w:t>6.0 (4.0–8.0)</w:t>
            </w:r>
          </w:p>
        </w:tc>
        <w:tc>
          <w:tcPr>
            <w:tcW w:w="1440" w:type="dxa"/>
            <w:hideMark/>
          </w:tcPr>
          <w:p w:rsidR="00B31827" w:rsidRDefault="00B31827" w:rsidP="00F040EA">
            <w:pPr>
              <w:spacing w:after="0" w:line="240" w:lineRule="auto"/>
              <w:ind w:left="-18" w:firstLine="18"/>
              <w:jc w:val="left"/>
              <w:rPr>
                <w:sz w:val="18"/>
                <w:szCs w:val="18"/>
              </w:rPr>
            </w:pPr>
            <w:r>
              <w:rPr>
                <w:sz w:val="18"/>
                <w:szCs w:val="18"/>
              </w:rPr>
              <w:t>6.0 (5.0–8.0)</w:t>
            </w:r>
          </w:p>
        </w:tc>
        <w:tc>
          <w:tcPr>
            <w:tcW w:w="1350" w:type="dxa"/>
            <w:gridSpan w:val="2"/>
            <w:hideMark/>
          </w:tcPr>
          <w:p w:rsidR="00B31827" w:rsidRDefault="00B31827" w:rsidP="00F040EA">
            <w:pPr>
              <w:spacing w:after="0" w:line="240" w:lineRule="auto"/>
              <w:ind w:firstLine="0"/>
              <w:jc w:val="left"/>
              <w:rPr>
                <w:sz w:val="18"/>
                <w:szCs w:val="18"/>
              </w:rPr>
            </w:pPr>
            <w:r>
              <w:rPr>
                <w:sz w:val="18"/>
                <w:szCs w:val="18"/>
              </w:rPr>
              <w:t>6.0 (4.0–7.0)</w:t>
            </w:r>
          </w:p>
        </w:tc>
        <w:tc>
          <w:tcPr>
            <w:tcW w:w="1710" w:type="dxa"/>
            <w:hideMark/>
          </w:tcPr>
          <w:p w:rsidR="00B31827" w:rsidRDefault="00B31827" w:rsidP="00F040EA">
            <w:pPr>
              <w:spacing w:after="0" w:line="240" w:lineRule="auto"/>
              <w:ind w:left="342" w:firstLine="0"/>
              <w:jc w:val="left"/>
              <w:rPr>
                <w:sz w:val="18"/>
                <w:szCs w:val="18"/>
              </w:rPr>
            </w:pPr>
            <w:r>
              <w:rPr>
                <w:sz w:val="18"/>
                <w:szCs w:val="18"/>
              </w:rPr>
              <w:t>1.0 (0.9–1.1)</w:t>
            </w:r>
          </w:p>
        </w:tc>
        <w:tc>
          <w:tcPr>
            <w:tcW w:w="810" w:type="dxa"/>
            <w:hideMark/>
          </w:tcPr>
          <w:p w:rsidR="00B31827" w:rsidRDefault="00B31827" w:rsidP="00F040EA">
            <w:pPr>
              <w:spacing w:after="0" w:line="240" w:lineRule="auto"/>
              <w:ind w:firstLine="0"/>
              <w:jc w:val="left"/>
              <w:rPr>
                <w:sz w:val="18"/>
                <w:szCs w:val="18"/>
              </w:rPr>
            </w:pPr>
            <w:r>
              <w:rPr>
                <w:sz w:val="18"/>
                <w:szCs w:val="18"/>
              </w:rPr>
              <w:t>0.440</w:t>
            </w:r>
          </w:p>
        </w:tc>
      </w:tr>
      <w:tr w:rsidR="00B31827" w:rsidTr="00F040EA">
        <w:tc>
          <w:tcPr>
            <w:tcW w:w="1710" w:type="dxa"/>
            <w:hideMark/>
          </w:tcPr>
          <w:p w:rsidR="00B31827" w:rsidRPr="00DF207A" w:rsidRDefault="00B31827" w:rsidP="00F040EA">
            <w:pPr>
              <w:spacing w:after="0" w:line="240" w:lineRule="auto"/>
              <w:ind w:left="-18" w:firstLine="0"/>
              <w:jc w:val="left"/>
              <w:rPr>
                <w:bCs/>
                <w:sz w:val="18"/>
                <w:szCs w:val="18"/>
              </w:rPr>
            </w:pPr>
            <w:r w:rsidRPr="00DF207A">
              <w:rPr>
                <w:bCs/>
                <w:sz w:val="18"/>
                <w:szCs w:val="18"/>
              </w:rPr>
              <w:t>Insulin treatment</w:t>
            </w:r>
          </w:p>
          <w:p w:rsidR="00B31827" w:rsidRPr="00DF207A" w:rsidRDefault="00B31827" w:rsidP="00F040EA">
            <w:pPr>
              <w:spacing w:after="0" w:line="240" w:lineRule="auto"/>
              <w:ind w:left="128" w:firstLine="0"/>
              <w:jc w:val="left"/>
              <w:rPr>
                <w:sz w:val="18"/>
                <w:szCs w:val="18"/>
              </w:rPr>
            </w:pPr>
            <w:r w:rsidRPr="00DF207A">
              <w:rPr>
                <w:sz w:val="18"/>
                <w:szCs w:val="18"/>
              </w:rPr>
              <w:t>Yes</w:t>
            </w:r>
          </w:p>
          <w:p w:rsidR="00B31827" w:rsidRPr="00DF207A" w:rsidRDefault="00B31827" w:rsidP="00F040EA">
            <w:pPr>
              <w:spacing w:after="0" w:line="240" w:lineRule="auto"/>
              <w:ind w:left="128" w:firstLine="0"/>
              <w:jc w:val="left"/>
              <w:rPr>
                <w:sz w:val="18"/>
                <w:szCs w:val="18"/>
              </w:rPr>
            </w:pPr>
            <w:r w:rsidRPr="00DF207A">
              <w:rPr>
                <w:sz w:val="18"/>
                <w:szCs w:val="18"/>
              </w:rPr>
              <w:t>No</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firstLine="0"/>
              <w:jc w:val="left"/>
              <w:rPr>
                <w:sz w:val="18"/>
                <w:szCs w:val="18"/>
              </w:rPr>
            </w:pPr>
            <w:r w:rsidRPr="00DF207A">
              <w:rPr>
                <w:sz w:val="18"/>
                <w:szCs w:val="18"/>
              </w:rPr>
              <w:t>188 (75.2)</w:t>
            </w:r>
          </w:p>
          <w:p w:rsidR="00B31827" w:rsidRPr="00DF207A" w:rsidRDefault="00B31827" w:rsidP="00F040EA">
            <w:pPr>
              <w:spacing w:after="0" w:line="240" w:lineRule="auto"/>
              <w:ind w:left="72" w:firstLine="0"/>
              <w:jc w:val="left"/>
              <w:rPr>
                <w:sz w:val="18"/>
                <w:szCs w:val="18"/>
              </w:rPr>
            </w:pPr>
            <w:r w:rsidRPr="00DF207A">
              <w:rPr>
                <w:sz w:val="18"/>
                <w:szCs w:val="18"/>
              </w:rPr>
              <w:t>62 (24.8)</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135 (74.6%)</w:t>
            </w:r>
          </w:p>
          <w:p w:rsidR="00B31827" w:rsidRDefault="00B31827" w:rsidP="00F040EA">
            <w:pPr>
              <w:spacing w:after="0" w:line="240" w:lineRule="auto"/>
              <w:ind w:left="64" w:firstLine="0"/>
              <w:jc w:val="left"/>
              <w:rPr>
                <w:sz w:val="18"/>
                <w:szCs w:val="18"/>
              </w:rPr>
            </w:pPr>
            <w:r>
              <w:rPr>
                <w:sz w:val="18"/>
                <w:szCs w:val="18"/>
              </w:rPr>
              <w:t>46 (25.4%)</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53 (76.8%)</w:t>
            </w:r>
          </w:p>
          <w:p w:rsidR="00B31827" w:rsidRDefault="00B31827" w:rsidP="00F040EA">
            <w:pPr>
              <w:spacing w:after="0" w:line="240" w:lineRule="auto"/>
              <w:ind w:firstLine="0"/>
              <w:jc w:val="left"/>
              <w:rPr>
                <w:sz w:val="18"/>
                <w:szCs w:val="18"/>
              </w:rPr>
            </w:pPr>
            <w:r>
              <w:rPr>
                <w:sz w:val="18"/>
                <w:szCs w:val="18"/>
              </w:rPr>
              <w:t>16 (23.2%)</w:t>
            </w:r>
          </w:p>
        </w:tc>
        <w:tc>
          <w:tcPr>
            <w:tcW w:w="1710" w:type="dxa"/>
          </w:tcPr>
          <w:p w:rsidR="00B31827" w:rsidRDefault="00B31827" w:rsidP="00F040EA">
            <w:pPr>
              <w:spacing w:after="0" w:line="240" w:lineRule="auto"/>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1.0 (0.6–2.2)</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0.716</w:t>
            </w:r>
          </w:p>
        </w:tc>
      </w:tr>
      <w:tr w:rsidR="00B31827" w:rsidTr="00F040EA">
        <w:trPr>
          <w:trHeight w:val="517"/>
        </w:trPr>
        <w:tc>
          <w:tcPr>
            <w:tcW w:w="1710" w:type="dxa"/>
            <w:hideMark/>
          </w:tcPr>
          <w:p w:rsidR="00B31827" w:rsidRPr="00DF207A" w:rsidRDefault="00B31827" w:rsidP="00F040EA">
            <w:pPr>
              <w:spacing w:after="0" w:line="240" w:lineRule="auto"/>
              <w:ind w:left="-18" w:firstLine="0"/>
              <w:jc w:val="left"/>
              <w:rPr>
                <w:bCs/>
                <w:sz w:val="18"/>
                <w:szCs w:val="18"/>
              </w:rPr>
            </w:pPr>
            <w:r w:rsidRPr="00DF207A">
              <w:rPr>
                <w:bCs/>
                <w:sz w:val="18"/>
                <w:szCs w:val="18"/>
              </w:rPr>
              <w:t>Anti–diabetic therapy type</w:t>
            </w:r>
          </w:p>
          <w:p w:rsidR="00B31827" w:rsidRPr="00DF207A" w:rsidRDefault="00B31827" w:rsidP="00F040EA">
            <w:pPr>
              <w:spacing w:after="0" w:line="240" w:lineRule="auto"/>
              <w:ind w:left="128" w:firstLine="0"/>
              <w:jc w:val="left"/>
              <w:rPr>
                <w:sz w:val="18"/>
                <w:szCs w:val="18"/>
              </w:rPr>
            </w:pPr>
            <w:r w:rsidRPr="00DF207A">
              <w:rPr>
                <w:sz w:val="18"/>
                <w:szCs w:val="18"/>
              </w:rPr>
              <w:t>Mono</w:t>
            </w:r>
            <w:r w:rsidRPr="00DF207A">
              <w:rPr>
                <w:bCs/>
                <w:sz w:val="18"/>
                <w:szCs w:val="18"/>
              </w:rPr>
              <w:t>–</w:t>
            </w:r>
            <w:r w:rsidRPr="00DF207A">
              <w:rPr>
                <w:sz w:val="18"/>
                <w:szCs w:val="18"/>
              </w:rPr>
              <w:t>therapy</w:t>
            </w:r>
          </w:p>
          <w:p w:rsidR="00B31827" w:rsidRPr="00DF207A" w:rsidRDefault="00B31827" w:rsidP="00F040EA">
            <w:pPr>
              <w:spacing w:after="0" w:line="240" w:lineRule="auto"/>
              <w:ind w:left="128" w:firstLine="0"/>
              <w:jc w:val="left"/>
              <w:rPr>
                <w:sz w:val="18"/>
                <w:szCs w:val="18"/>
              </w:rPr>
            </w:pPr>
            <w:r w:rsidRPr="00DF207A">
              <w:rPr>
                <w:sz w:val="18"/>
                <w:szCs w:val="18"/>
              </w:rPr>
              <w:t>Combination</w:t>
            </w:r>
          </w:p>
        </w:tc>
        <w:tc>
          <w:tcPr>
            <w:tcW w:w="1440" w:type="dxa"/>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firstLine="0"/>
              <w:jc w:val="left"/>
              <w:rPr>
                <w:sz w:val="18"/>
                <w:szCs w:val="18"/>
              </w:rPr>
            </w:pPr>
            <w:r w:rsidRPr="00DF207A">
              <w:rPr>
                <w:sz w:val="18"/>
                <w:szCs w:val="18"/>
              </w:rPr>
              <w:t>122 (48.8)</w:t>
            </w:r>
          </w:p>
          <w:p w:rsidR="00B31827" w:rsidRPr="00DF207A" w:rsidRDefault="00B31827" w:rsidP="00F040EA">
            <w:pPr>
              <w:spacing w:after="0" w:line="240" w:lineRule="auto"/>
              <w:ind w:firstLine="0"/>
              <w:jc w:val="left"/>
              <w:rPr>
                <w:sz w:val="18"/>
                <w:szCs w:val="18"/>
              </w:rPr>
            </w:pPr>
            <w:r w:rsidRPr="00DF207A">
              <w:rPr>
                <w:sz w:val="18"/>
                <w:szCs w:val="18"/>
              </w:rPr>
              <w:t>128 (51.2)</w:t>
            </w:r>
          </w:p>
        </w:tc>
        <w:tc>
          <w:tcPr>
            <w:tcW w:w="144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64" w:firstLine="0"/>
              <w:jc w:val="left"/>
              <w:rPr>
                <w:sz w:val="18"/>
                <w:szCs w:val="18"/>
              </w:rPr>
            </w:pPr>
            <w:r>
              <w:rPr>
                <w:sz w:val="18"/>
                <w:szCs w:val="18"/>
              </w:rPr>
              <w:t>92 (50.8%)</w:t>
            </w:r>
          </w:p>
          <w:p w:rsidR="00B31827" w:rsidRDefault="00B31827" w:rsidP="00F040EA">
            <w:pPr>
              <w:spacing w:after="0" w:line="240" w:lineRule="auto"/>
              <w:ind w:left="64" w:firstLine="0"/>
              <w:jc w:val="left"/>
              <w:rPr>
                <w:sz w:val="18"/>
                <w:szCs w:val="18"/>
              </w:rPr>
            </w:pPr>
            <w:r>
              <w:rPr>
                <w:sz w:val="18"/>
                <w:szCs w:val="18"/>
              </w:rPr>
              <w:t>89 (49.2%)</w:t>
            </w:r>
          </w:p>
        </w:tc>
        <w:tc>
          <w:tcPr>
            <w:tcW w:w="1350" w:type="dxa"/>
            <w:gridSpan w:val="2"/>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30 (43.5%)</w:t>
            </w:r>
          </w:p>
          <w:p w:rsidR="00B31827" w:rsidRDefault="00B31827" w:rsidP="00F040EA">
            <w:pPr>
              <w:spacing w:after="0" w:line="240" w:lineRule="auto"/>
              <w:ind w:firstLine="0"/>
              <w:jc w:val="left"/>
              <w:rPr>
                <w:sz w:val="18"/>
                <w:szCs w:val="18"/>
              </w:rPr>
            </w:pPr>
            <w:r>
              <w:rPr>
                <w:sz w:val="18"/>
                <w:szCs w:val="18"/>
              </w:rPr>
              <w:t>39 (56.5%)</w:t>
            </w:r>
          </w:p>
        </w:tc>
        <w:tc>
          <w:tcPr>
            <w:tcW w:w="17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0.7 (0.4–1.3)</w:t>
            </w:r>
          </w:p>
        </w:tc>
        <w:tc>
          <w:tcPr>
            <w:tcW w:w="810" w:type="dxa"/>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0.299</w:t>
            </w:r>
          </w:p>
        </w:tc>
      </w:tr>
      <w:tr w:rsidR="00B31827" w:rsidTr="00F040EA">
        <w:trPr>
          <w:trHeight w:val="382"/>
        </w:trPr>
        <w:tc>
          <w:tcPr>
            <w:tcW w:w="1710" w:type="dxa"/>
            <w:hideMark/>
          </w:tcPr>
          <w:p w:rsidR="00B31827" w:rsidRPr="00DF207A" w:rsidRDefault="00B31827" w:rsidP="00F040EA">
            <w:pPr>
              <w:spacing w:after="0" w:line="240" w:lineRule="auto"/>
              <w:ind w:left="-18" w:firstLine="0"/>
              <w:jc w:val="left"/>
              <w:rPr>
                <w:bCs/>
                <w:sz w:val="18"/>
                <w:szCs w:val="18"/>
              </w:rPr>
            </w:pPr>
            <w:r w:rsidRPr="00DF207A">
              <w:rPr>
                <w:bCs/>
                <w:sz w:val="18"/>
                <w:szCs w:val="18"/>
              </w:rPr>
              <w:t>Preventive education score</w:t>
            </w:r>
          </w:p>
        </w:tc>
        <w:tc>
          <w:tcPr>
            <w:tcW w:w="1440" w:type="dxa"/>
            <w:hideMark/>
          </w:tcPr>
          <w:p w:rsidR="00B31827" w:rsidRPr="00DF207A" w:rsidRDefault="00B31827" w:rsidP="00F040EA">
            <w:pPr>
              <w:spacing w:after="0" w:line="240" w:lineRule="auto"/>
              <w:ind w:left="-18" w:firstLine="0"/>
              <w:jc w:val="left"/>
              <w:rPr>
                <w:sz w:val="18"/>
                <w:szCs w:val="18"/>
              </w:rPr>
            </w:pPr>
            <w:r w:rsidRPr="00DF207A">
              <w:rPr>
                <w:sz w:val="18"/>
                <w:szCs w:val="18"/>
              </w:rPr>
              <w:t>40.0 (20.0–45.0)</w:t>
            </w:r>
          </w:p>
        </w:tc>
        <w:tc>
          <w:tcPr>
            <w:tcW w:w="1440" w:type="dxa"/>
            <w:hideMark/>
          </w:tcPr>
          <w:p w:rsidR="00B31827" w:rsidRDefault="00B31827" w:rsidP="00F040EA">
            <w:pPr>
              <w:spacing w:after="0" w:line="240" w:lineRule="auto"/>
              <w:ind w:firstLine="0"/>
              <w:jc w:val="left"/>
              <w:rPr>
                <w:sz w:val="18"/>
                <w:szCs w:val="18"/>
              </w:rPr>
            </w:pPr>
            <w:r>
              <w:rPr>
                <w:sz w:val="18"/>
                <w:szCs w:val="18"/>
              </w:rPr>
              <w:t>40.0 (20.0–45.0)</w:t>
            </w:r>
          </w:p>
        </w:tc>
        <w:tc>
          <w:tcPr>
            <w:tcW w:w="1350" w:type="dxa"/>
            <w:gridSpan w:val="2"/>
            <w:hideMark/>
          </w:tcPr>
          <w:p w:rsidR="00B31827" w:rsidRDefault="00B31827" w:rsidP="00F040EA">
            <w:pPr>
              <w:spacing w:after="0" w:line="240" w:lineRule="auto"/>
              <w:ind w:left="-108" w:firstLine="0"/>
              <w:jc w:val="left"/>
              <w:rPr>
                <w:sz w:val="18"/>
                <w:szCs w:val="18"/>
              </w:rPr>
            </w:pPr>
            <w:r>
              <w:rPr>
                <w:sz w:val="18"/>
                <w:szCs w:val="18"/>
              </w:rPr>
              <w:t>40.0 (20.0–40.0)</w:t>
            </w:r>
          </w:p>
        </w:tc>
        <w:tc>
          <w:tcPr>
            <w:tcW w:w="1710" w:type="dxa"/>
            <w:hideMark/>
          </w:tcPr>
          <w:p w:rsidR="00B31827" w:rsidRDefault="00B31827" w:rsidP="00F040EA">
            <w:pPr>
              <w:spacing w:after="0" w:line="240" w:lineRule="auto"/>
              <w:ind w:firstLine="0"/>
              <w:jc w:val="left"/>
              <w:rPr>
                <w:sz w:val="18"/>
                <w:szCs w:val="18"/>
              </w:rPr>
            </w:pPr>
            <w:r>
              <w:rPr>
                <w:sz w:val="18"/>
                <w:szCs w:val="18"/>
              </w:rPr>
              <w:t xml:space="preserve">      1.00 (1.00–1.02)</w:t>
            </w:r>
          </w:p>
        </w:tc>
        <w:tc>
          <w:tcPr>
            <w:tcW w:w="810" w:type="dxa"/>
            <w:hideMark/>
          </w:tcPr>
          <w:p w:rsidR="00B31827" w:rsidRDefault="00B31827" w:rsidP="00F040EA">
            <w:pPr>
              <w:spacing w:after="0" w:line="240" w:lineRule="auto"/>
              <w:ind w:firstLine="0"/>
              <w:jc w:val="left"/>
              <w:rPr>
                <w:sz w:val="18"/>
                <w:szCs w:val="18"/>
              </w:rPr>
            </w:pPr>
            <w:r>
              <w:rPr>
                <w:sz w:val="18"/>
                <w:szCs w:val="18"/>
              </w:rPr>
              <w:t>0.822</w:t>
            </w:r>
          </w:p>
        </w:tc>
      </w:tr>
      <w:tr w:rsidR="00B31827" w:rsidTr="00F040EA">
        <w:tc>
          <w:tcPr>
            <w:tcW w:w="1710" w:type="dxa"/>
            <w:hideMark/>
          </w:tcPr>
          <w:p w:rsidR="00B31827" w:rsidRPr="00DF207A" w:rsidRDefault="00B31827" w:rsidP="00F040EA">
            <w:pPr>
              <w:spacing w:after="0" w:line="240" w:lineRule="auto"/>
              <w:ind w:firstLine="0"/>
              <w:jc w:val="left"/>
              <w:rPr>
                <w:bCs/>
                <w:sz w:val="18"/>
                <w:szCs w:val="18"/>
              </w:rPr>
            </w:pPr>
            <w:r w:rsidRPr="00DF207A">
              <w:rPr>
                <w:bCs/>
                <w:sz w:val="18"/>
                <w:szCs w:val="18"/>
              </w:rPr>
              <w:t xml:space="preserve">Quality of follow–up score </w:t>
            </w:r>
          </w:p>
        </w:tc>
        <w:tc>
          <w:tcPr>
            <w:tcW w:w="1440" w:type="dxa"/>
            <w:hideMark/>
          </w:tcPr>
          <w:p w:rsidR="00B31827" w:rsidRPr="00DF207A" w:rsidRDefault="00B31827" w:rsidP="00F040EA">
            <w:pPr>
              <w:spacing w:after="0" w:line="240" w:lineRule="auto"/>
              <w:ind w:left="-18" w:firstLine="0"/>
              <w:jc w:val="left"/>
              <w:rPr>
                <w:sz w:val="18"/>
                <w:szCs w:val="18"/>
              </w:rPr>
            </w:pPr>
            <w:r w:rsidRPr="00DF207A">
              <w:rPr>
                <w:sz w:val="18"/>
                <w:szCs w:val="18"/>
              </w:rPr>
              <w:t>40.0 (30.0–47.5)</w:t>
            </w:r>
          </w:p>
        </w:tc>
        <w:tc>
          <w:tcPr>
            <w:tcW w:w="1440" w:type="dxa"/>
            <w:hideMark/>
          </w:tcPr>
          <w:p w:rsidR="00B31827" w:rsidRDefault="00B31827" w:rsidP="00F040EA">
            <w:pPr>
              <w:spacing w:after="0" w:line="240" w:lineRule="auto"/>
              <w:ind w:hanging="18"/>
              <w:jc w:val="left"/>
              <w:rPr>
                <w:sz w:val="18"/>
                <w:szCs w:val="18"/>
              </w:rPr>
            </w:pPr>
            <w:r>
              <w:rPr>
                <w:sz w:val="18"/>
                <w:szCs w:val="18"/>
              </w:rPr>
              <w:t>40.0 (30.0–47.5)</w:t>
            </w:r>
          </w:p>
        </w:tc>
        <w:tc>
          <w:tcPr>
            <w:tcW w:w="1350" w:type="dxa"/>
            <w:gridSpan w:val="2"/>
            <w:hideMark/>
          </w:tcPr>
          <w:p w:rsidR="00B31827" w:rsidRDefault="00B31827" w:rsidP="00F040EA">
            <w:pPr>
              <w:spacing w:after="0" w:line="240" w:lineRule="auto"/>
              <w:ind w:left="-108" w:firstLine="0"/>
              <w:jc w:val="left"/>
              <w:rPr>
                <w:sz w:val="18"/>
                <w:szCs w:val="18"/>
              </w:rPr>
            </w:pPr>
            <w:r>
              <w:rPr>
                <w:sz w:val="18"/>
                <w:szCs w:val="18"/>
              </w:rPr>
              <w:t>40.0 (28.8–47.5)</w:t>
            </w:r>
          </w:p>
        </w:tc>
        <w:tc>
          <w:tcPr>
            <w:tcW w:w="1710" w:type="dxa"/>
            <w:hideMark/>
          </w:tcPr>
          <w:p w:rsidR="00B31827" w:rsidRDefault="00B31827" w:rsidP="00F040EA">
            <w:pPr>
              <w:spacing w:after="0" w:line="240" w:lineRule="auto"/>
              <w:ind w:left="342" w:firstLine="0"/>
              <w:jc w:val="left"/>
              <w:rPr>
                <w:sz w:val="18"/>
                <w:szCs w:val="18"/>
              </w:rPr>
            </w:pPr>
            <w:r>
              <w:rPr>
                <w:sz w:val="18"/>
                <w:szCs w:val="18"/>
              </w:rPr>
              <w:t>1.0 (1.0–1.0)</w:t>
            </w:r>
          </w:p>
        </w:tc>
        <w:tc>
          <w:tcPr>
            <w:tcW w:w="810" w:type="dxa"/>
            <w:hideMark/>
          </w:tcPr>
          <w:p w:rsidR="00B31827" w:rsidRDefault="00B31827" w:rsidP="00F040EA">
            <w:pPr>
              <w:spacing w:after="0" w:line="240" w:lineRule="auto"/>
              <w:ind w:firstLine="0"/>
              <w:jc w:val="left"/>
              <w:rPr>
                <w:sz w:val="18"/>
                <w:szCs w:val="18"/>
              </w:rPr>
            </w:pPr>
            <w:r>
              <w:rPr>
                <w:sz w:val="18"/>
                <w:szCs w:val="18"/>
              </w:rPr>
              <w:t>0.998</w:t>
            </w:r>
          </w:p>
        </w:tc>
      </w:tr>
      <w:tr w:rsidR="00B31827" w:rsidTr="00F040EA">
        <w:trPr>
          <w:trHeight w:val="94"/>
        </w:trPr>
        <w:tc>
          <w:tcPr>
            <w:tcW w:w="1710" w:type="dxa"/>
            <w:tcBorders>
              <w:top w:val="nil"/>
              <w:left w:val="nil"/>
              <w:right w:val="nil"/>
            </w:tcBorders>
            <w:hideMark/>
          </w:tcPr>
          <w:p w:rsidR="00B31827" w:rsidRPr="00DF207A" w:rsidRDefault="00B31827" w:rsidP="00F040EA">
            <w:pPr>
              <w:spacing w:after="0" w:line="240" w:lineRule="auto"/>
              <w:ind w:firstLine="0"/>
              <w:jc w:val="left"/>
              <w:rPr>
                <w:bCs/>
                <w:sz w:val="18"/>
                <w:szCs w:val="18"/>
              </w:rPr>
            </w:pPr>
            <w:r w:rsidRPr="00DF207A">
              <w:rPr>
                <w:bCs/>
                <w:sz w:val="18"/>
                <w:szCs w:val="18"/>
              </w:rPr>
              <w:t>P</w:t>
            </w:r>
            <w:r>
              <w:rPr>
                <w:bCs/>
                <w:sz w:val="18"/>
                <w:szCs w:val="18"/>
              </w:rPr>
              <w:t>atient-healthcare professionals</w:t>
            </w:r>
            <w:r w:rsidRPr="00DF207A">
              <w:rPr>
                <w:bCs/>
                <w:sz w:val="18"/>
                <w:szCs w:val="18"/>
              </w:rPr>
              <w:t xml:space="preserve"> </w:t>
            </w:r>
            <w:r>
              <w:rPr>
                <w:bCs/>
                <w:sz w:val="18"/>
                <w:szCs w:val="18"/>
              </w:rPr>
              <w:t xml:space="preserve">relationship </w:t>
            </w:r>
            <w:r w:rsidRPr="00DF207A">
              <w:rPr>
                <w:bCs/>
                <w:sz w:val="18"/>
                <w:szCs w:val="18"/>
              </w:rPr>
              <w:t>score</w:t>
            </w:r>
          </w:p>
        </w:tc>
        <w:tc>
          <w:tcPr>
            <w:tcW w:w="1440" w:type="dxa"/>
            <w:tcBorders>
              <w:top w:val="nil"/>
              <w:left w:val="nil"/>
              <w:right w:val="nil"/>
            </w:tcBorders>
            <w:hideMark/>
          </w:tcPr>
          <w:p w:rsidR="00B31827" w:rsidRPr="00DF207A" w:rsidRDefault="00B31827" w:rsidP="00F040EA">
            <w:pPr>
              <w:spacing w:after="0" w:line="240" w:lineRule="auto"/>
              <w:ind w:firstLine="0"/>
              <w:jc w:val="left"/>
              <w:rPr>
                <w:sz w:val="18"/>
                <w:szCs w:val="18"/>
              </w:rPr>
            </w:pPr>
            <w:r w:rsidRPr="00DF207A">
              <w:rPr>
                <w:sz w:val="18"/>
                <w:szCs w:val="18"/>
              </w:rPr>
              <w:t>30.0 (28.0–52.3)</w:t>
            </w:r>
          </w:p>
        </w:tc>
        <w:tc>
          <w:tcPr>
            <w:tcW w:w="1440" w:type="dxa"/>
            <w:tcBorders>
              <w:top w:val="nil"/>
              <w:left w:val="nil"/>
              <w:right w:val="nil"/>
            </w:tcBorders>
            <w:hideMark/>
          </w:tcPr>
          <w:p w:rsidR="00B31827" w:rsidRDefault="00B31827" w:rsidP="00F040EA">
            <w:pPr>
              <w:spacing w:after="0" w:line="240" w:lineRule="auto"/>
              <w:ind w:firstLine="0"/>
              <w:jc w:val="left"/>
              <w:rPr>
                <w:sz w:val="18"/>
                <w:szCs w:val="18"/>
              </w:rPr>
            </w:pPr>
            <w:r>
              <w:rPr>
                <w:sz w:val="18"/>
                <w:szCs w:val="18"/>
              </w:rPr>
              <w:t>30.0 (28.5–53.0)</w:t>
            </w:r>
          </w:p>
        </w:tc>
        <w:tc>
          <w:tcPr>
            <w:tcW w:w="1350" w:type="dxa"/>
            <w:gridSpan w:val="2"/>
            <w:tcBorders>
              <w:top w:val="nil"/>
              <w:left w:val="nil"/>
              <w:right w:val="nil"/>
            </w:tcBorders>
            <w:hideMark/>
          </w:tcPr>
          <w:p w:rsidR="00B31827" w:rsidRDefault="00B31827" w:rsidP="00F040EA">
            <w:pPr>
              <w:spacing w:after="0" w:line="240" w:lineRule="auto"/>
              <w:ind w:left="-108" w:firstLine="0"/>
              <w:jc w:val="left"/>
              <w:rPr>
                <w:sz w:val="18"/>
                <w:szCs w:val="18"/>
              </w:rPr>
            </w:pPr>
            <w:r>
              <w:rPr>
                <w:sz w:val="18"/>
                <w:szCs w:val="18"/>
              </w:rPr>
              <w:t>30.0 (26.0–52.0)</w:t>
            </w:r>
          </w:p>
        </w:tc>
        <w:tc>
          <w:tcPr>
            <w:tcW w:w="1710" w:type="dxa"/>
            <w:tcBorders>
              <w:top w:val="nil"/>
              <w:left w:val="nil"/>
              <w:right w:val="nil"/>
            </w:tcBorders>
            <w:hideMark/>
          </w:tcPr>
          <w:p w:rsidR="00B31827" w:rsidRDefault="00B31827" w:rsidP="00F040EA">
            <w:pPr>
              <w:spacing w:after="0" w:line="240" w:lineRule="auto"/>
              <w:ind w:firstLine="0"/>
              <w:jc w:val="left"/>
              <w:rPr>
                <w:sz w:val="18"/>
                <w:szCs w:val="18"/>
              </w:rPr>
            </w:pPr>
            <w:r>
              <w:rPr>
                <w:sz w:val="18"/>
                <w:szCs w:val="18"/>
              </w:rPr>
              <w:t xml:space="preserve">      1.00 (0.99–1.03)</w:t>
            </w:r>
          </w:p>
        </w:tc>
        <w:tc>
          <w:tcPr>
            <w:tcW w:w="810" w:type="dxa"/>
            <w:tcBorders>
              <w:top w:val="nil"/>
              <w:left w:val="nil"/>
              <w:right w:val="nil"/>
            </w:tcBorders>
            <w:hideMark/>
          </w:tcPr>
          <w:p w:rsidR="00B31827" w:rsidRDefault="00B31827" w:rsidP="00F040EA">
            <w:pPr>
              <w:spacing w:after="0" w:line="240" w:lineRule="auto"/>
              <w:ind w:firstLine="0"/>
              <w:jc w:val="left"/>
              <w:rPr>
                <w:sz w:val="18"/>
                <w:szCs w:val="18"/>
              </w:rPr>
            </w:pPr>
            <w:r>
              <w:rPr>
                <w:sz w:val="18"/>
                <w:szCs w:val="18"/>
              </w:rPr>
              <w:t>0.274</w:t>
            </w:r>
          </w:p>
        </w:tc>
      </w:tr>
      <w:tr w:rsidR="00B31827" w:rsidTr="00F040EA">
        <w:trPr>
          <w:trHeight w:val="76"/>
        </w:trPr>
        <w:tc>
          <w:tcPr>
            <w:tcW w:w="1710" w:type="dxa"/>
            <w:hideMark/>
          </w:tcPr>
          <w:p w:rsidR="00B31827" w:rsidRPr="00DF207A" w:rsidRDefault="00B31827" w:rsidP="00F040EA">
            <w:pPr>
              <w:spacing w:after="0" w:line="240" w:lineRule="auto"/>
              <w:ind w:left="-18" w:firstLine="0"/>
              <w:jc w:val="left"/>
              <w:rPr>
                <w:sz w:val="18"/>
                <w:szCs w:val="18"/>
              </w:rPr>
            </w:pPr>
            <w:r w:rsidRPr="00DF207A">
              <w:rPr>
                <w:bCs/>
                <w:sz w:val="18"/>
                <w:szCs w:val="18"/>
              </w:rPr>
              <w:t xml:space="preserve">Patient–physicians facilitation score </w:t>
            </w:r>
          </w:p>
        </w:tc>
        <w:tc>
          <w:tcPr>
            <w:tcW w:w="1440" w:type="dxa"/>
            <w:hideMark/>
          </w:tcPr>
          <w:p w:rsidR="00B31827" w:rsidRPr="00DF207A" w:rsidRDefault="00B31827" w:rsidP="00F040EA">
            <w:pPr>
              <w:spacing w:after="0" w:line="240" w:lineRule="auto"/>
              <w:ind w:left="-18" w:firstLine="0"/>
              <w:jc w:val="left"/>
              <w:rPr>
                <w:sz w:val="18"/>
                <w:szCs w:val="18"/>
              </w:rPr>
            </w:pPr>
            <w:r w:rsidRPr="00DF207A">
              <w:rPr>
                <w:sz w:val="18"/>
                <w:szCs w:val="18"/>
              </w:rPr>
              <w:t>12.0 (9.0–13.0)</w:t>
            </w:r>
          </w:p>
        </w:tc>
        <w:tc>
          <w:tcPr>
            <w:tcW w:w="1440" w:type="dxa"/>
            <w:hideMark/>
          </w:tcPr>
          <w:p w:rsidR="00B31827" w:rsidRDefault="00B31827" w:rsidP="00F040EA">
            <w:pPr>
              <w:spacing w:after="0" w:line="240" w:lineRule="auto"/>
              <w:ind w:firstLine="0"/>
              <w:jc w:val="left"/>
              <w:rPr>
                <w:sz w:val="18"/>
                <w:szCs w:val="18"/>
              </w:rPr>
            </w:pPr>
            <w:r>
              <w:rPr>
                <w:sz w:val="18"/>
                <w:szCs w:val="18"/>
              </w:rPr>
              <w:t>12.0 (9.0–13.0)</w:t>
            </w:r>
          </w:p>
        </w:tc>
        <w:tc>
          <w:tcPr>
            <w:tcW w:w="1350" w:type="dxa"/>
            <w:gridSpan w:val="2"/>
            <w:hideMark/>
          </w:tcPr>
          <w:p w:rsidR="00B31827" w:rsidRDefault="00B31827" w:rsidP="00F040EA">
            <w:pPr>
              <w:spacing w:after="0" w:line="240" w:lineRule="auto"/>
              <w:ind w:left="-108" w:firstLine="0"/>
              <w:jc w:val="left"/>
              <w:rPr>
                <w:sz w:val="18"/>
                <w:szCs w:val="18"/>
              </w:rPr>
            </w:pPr>
            <w:r>
              <w:rPr>
                <w:sz w:val="18"/>
                <w:szCs w:val="18"/>
              </w:rPr>
              <w:t>12.0 (7.5–13.0)</w:t>
            </w:r>
          </w:p>
        </w:tc>
        <w:tc>
          <w:tcPr>
            <w:tcW w:w="1710" w:type="dxa"/>
            <w:hideMark/>
          </w:tcPr>
          <w:p w:rsidR="00B31827" w:rsidRDefault="00B31827" w:rsidP="00F040EA">
            <w:pPr>
              <w:spacing w:after="0" w:line="240" w:lineRule="auto"/>
              <w:ind w:left="342" w:firstLine="0"/>
              <w:jc w:val="left"/>
              <w:rPr>
                <w:sz w:val="18"/>
                <w:szCs w:val="18"/>
              </w:rPr>
            </w:pPr>
            <w:r>
              <w:rPr>
                <w:sz w:val="18"/>
                <w:szCs w:val="18"/>
              </w:rPr>
              <w:t>1.1 (1.0–1.2)</w:t>
            </w:r>
          </w:p>
        </w:tc>
        <w:tc>
          <w:tcPr>
            <w:tcW w:w="810" w:type="dxa"/>
            <w:hideMark/>
          </w:tcPr>
          <w:p w:rsidR="00B31827" w:rsidRDefault="00B31827" w:rsidP="00F040EA">
            <w:pPr>
              <w:spacing w:after="0" w:line="240" w:lineRule="auto"/>
              <w:ind w:firstLine="0"/>
              <w:jc w:val="left"/>
              <w:rPr>
                <w:sz w:val="18"/>
                <w:szCs w:val="18"/>
              </w:rPr>
            </w:pPr>
            <w:r>
              <w:rPr>
                <w:sz w:val="18"/>
                <w:szCs w:val="18"/>
              </w:rPr>
              <w:t>0.258</w:t>
            </w:r>
          </w:p>
        </w:tc>
      </w:tr>
      <w:tr w:rsidR="00B31827" w:rsidTr="00F040EA">
        <w:trPr>
          <w:trHeight w:val="135"/>
        </w:trPr>
        <w:tc>
          <w:tcPr>
            <w:tcW w:w="1710" w:type="dxa"/>
            <w:tcBorders>
              <w:top w:val="nil"/>
              <w:left w:val="nil"/>
              <w:right w:val="nil"/>
            </w:tcBorders>
            <w:hideMark/>
          </w:tcPr>
          <w:p w:rsidR="00B31827" w:rsidRPr="00DF207A" w:rsidRDefault="00B31827" w:rsidP="00F040EA">
            <w:pPr>
              <w:spacing w:after="0" w:line="240" w:lineRule="auto"/>
              <w:ind w:left="-18" w:firstLine="0"/>
              <w:jc w:val="left"/>
              <w:rPr>
                <w:bCs/>
                <w:sz w:val="18"/>
                <w:szCs w:val="18"/>
              </w:rPr>
            </w:pPr>
            <w:r>
              <w:rPr>
                <w:bCs/>
                <w:sz w:val="18"/>
                <w:szCs w:val="18"/>
              </w:rPr>
              <w:t>Health</w:t>
            </w:r>
            <w:r w:rsidRPr="00DF207A">
              <w:rPr>
                <w:bCs/>
                <w:sz w:val="18"/>
                <w:szCs w:val="18"/>
              </w:rPr>
              <w:t>care collaboration score</w:t>
            </w:r>
          </w:p>
        </w:tc>
        <w:tc>
          <w:tcPr>
            <w:tcW w:w="1440" w:type="dxa"/>
            <w:tcBorders>
              <w:top w:val="nil"/>
              <w:left w:val="nil"/>
              <w:right w:val="nil"/>
            </w:tcBorders>
            <w:hideMark/>
          </w:tcPr>
          <w:p w:rsidR="00B31827" w:rsidRPr="00DF207A" w:rsidRDefault="00B31827" w:rsidP="00F040EA">
            <w:pPr>
              <w:spacing w:after="0" w:line="240" w:lineRule="auto"/>
              <w:ind w:firstLine="0"/>
              <w:jc w:val="left"/>
              <w:rPr>
                <w:sz w:val="18"/>
                <w:szCs w:val="18"/>
              </w:rPr>
            </w:pPr>
            <w:r w:rsidRPr="00DF207A">
              <w:rPr>
                <w:sz w:val="18"/>
                <w:szCs w:val="18"/>
              </w:rPr>
              <w:t>1.0 (1.0–2.0)</w:t>
            </w:r>
          </w:p>
        </w:tc>
        <w:tc>
          <w:tcPr>
            <w:tcW w:w="1440" w:type="dxa"/>
            <w:tcBorders>
              <w:top w:val="nil"/>
              <w:left w:val="nil"/>
              <w:right w:val="nil"/>
            </w:tcBorders>
          </w:tcPr>
          <w:p w:rsidR="00B31827" w:rsidRDefault="00B31827" w:rsidP="00F040EA">
            <w:pPr>
              <w:spacing w:after="0" w:line="240" w:lineRule="auto"/>
              <w:ind w:firstLine="0"/>
              <w:jc w:val="left"/>
              <w:rPr>
                <w:sz w:val="18"/>
                <w:szCs w:val="18"/>
              </w:rPr>
            </w:pPr>
            <w:r>
              <w:rPr>
                <w:sz w:val="18"/>
                <w:szCs w:val="18"/>
              </w:rPr>
              <w:t>1.0 (1.0–2.0)</w:t>
            </w:r>
          </w:p>
        </w:tc>
        <w:tc>
          <w:tcPr>
            <w:tcW w:w="1350" w:type="dxa"/>
            <w:gridSpan w:val="2"/>
            <w:tcBorders>
              <w:top w:val="nil"/>
              <w:left w:val="nil"/>
              <w:right w:val="nil"/>
            </w:tcBorders>
            <w:hideMark/>
          </w:tcPr>
          <w:p w:rsidR="00B31827" w:rsidRDefault="00B31827" w:rsidP="00F040EA">
            <w:pPr>
              <w:spacing w:after="0" w:line="240" w:lineRule="auto"/>
              <w:ind w:firstLine="0"/>
              <w:jc w:val="left"/>
              <w:rPr>
                <w:sz w:val="18"/>
                <w:szCs w:val="18"/>
              </w:rPr>
            </w:pPr>
            <w:r>
              <w:rPr>
                <w:sz w:val="18"/>
                <w:szCs w:val="18"/>
              </w:rPr>
              <w:t>2.0 (1.0–2.0)</w:t>
            </w:r>
          </w:p>
        </w:tc>
        <w:tc>
          <w:tcPr>
            <w:tcW w:w="1710" w:type="dxa"/>
            <w:tcBorders>
              <w:top w:val="nil"/>
              <w:left w:val="nil"/>
              <w:right w:val="nil"/>
            </w:tcBorders>
          </w:tcPr>
          <w:p w:rsidR="00B31827" w:rsidRDefault="00B31827" w:rsidP="00F040EA">
            <w:pPr>
              <w:spacing w:after="0" w:line="240" w:lineRule="auto"/>
              <w:ind w:left="342" w:firstLine="0"/>
              <w:jc w:val="left"/>
              <w:rPr>
                <w:sz w:val="18"/>
                <w:szCs w:val="18"/>
              </w:rPr>
            </w:pPr>
            <w:r>
              <w:rPr>
                <w:sz w:val="18"/>
                <w:szCs w:val="18"/>
              </w:rPr>
              <w:t>0.9 (0.6–1.1)</w:t>
            </w:r>
          </w:p>
        </w:tc>
        <w:tc>
          <w:tcPr>
            <w:tcW w:w="810" w:type="dxa"/>
            <w:tcBorders>
              <w:top w:val="nil"/>
              <w:left w:val="nil"/>
              <w:right w:val="nil"/>
            </w:tcBorders>
            <w:hideMark/>
          </w:tcPr>
          <w:p w:rsidR="00B31827" w:rsidRDefault="00B31827" w:rsidP="00F040EA">
            <w:pPr>
              <w:spacing w:after="0" w:line="240" w:lineRule="auto"/>
              <w:ind w:firstLine="0"/>
              <w:jc w:val="left"/>
              <w:rPr>
                <w:sz w:val="18"/>
                <w:szCs w:val="18"/>
              </w:rPr>
            </w:pPr>
            <w:r>
              <w:rPr>
                <w:sz w:val="18"/>
                <w:szCs w:val="18"/>
              </w:rPr>
              <w:t>0.286</w:t>
            </w:r>
          </w:p>
        </w:tc>
      </w:tr>
      <w:tr w:rsidR="00B31827" w:rsidTr="00F040EA">
        <w:trPr>
          <w:trHeight w:val="1098"/>
        </w:trPr>
        <w:tc>
          <w:tcPr>
            <w:tcW w:w="1710" w:type="dxa"/>
            <w:tcBorders>
              <w:left w:val="nil"/>
              <w:bottom w:val="single" w:sz="4" w:space="0" w:color="auto"/>
              <w:right w:val="nil"/>
            </w:tcBorders>
            <w:hideMark/>
          </w:tcPr>
          <w:p w:rsidR="00B31827" w:rsidRPr="00DF207A" w:rsidRDefault="00B31827" w:rsidP="00F040EA">
            <w:pPr>
              <w:spacing w:after="0" w:line="240" w:lineRule="auto"/>
              <w:ind w:left="-18" w:firstLine="0"/>
              <w:jc w:val="left"/>
              <w:rPr>
                <w:bCs/>
                <w:sz w:val="18"/>
                <w:szCs w:val="18"/>
              </w:rPr>
            </w:pPr>
            <w:r w:rsidRPr="00DF207A">
              <w:rPr>
                <w:bCs/>
                <w:sz w:val="18"/>
                <w:szCs w:val="18"/>
              </w:rPr>
              <w:t xml:space="preserve">Diabetes education </w:t>
            </w:r>
          </w:p>
          <w:p w:rsidR="00B31827" w:rsidRPr="00DF207A" w:rsidRDefault="00B31827" w:rsidP="00F040EA">
            <w:pPr>
              <w:spacing w:after="0" w:line="240" w:lineRule="auto"/>
              <w:ind w:firstLine="0"/>
              <w:jc w:val="left"/>
              <w:rPr>
                <w:sz w:val="18"/>
                <w:szCs w:val="18"/>
              </w:rPr>
            </w:pPr>
            <w:r w:rsidRPr="00DF207A">
              <w:rPr>
                <w:sz w:val="18"/>
                <w:szCs w:val="18"/>
              </w:rPr>
              <w:t>Physician</w:t>
            </w:r>
          </w:p>
          <w:p w:rsidR="00B31827" w:rsidRPr="00DF207A" w:rsidRDefault="00B31827" w:rsidP="00F040EA">
            <w:pPr>
              <w:spacing w:after="0" w:line="240" w:lineRule="auto"/>
              <w:ind w:firstLine="0"/>
              <w:jc w:val="left"/>
              <w:rPr>
                <w:sz w:val="18"/>
                <w:szCs w:val="18"/>
              </w:rPr>
            </w:pPr>
            <w:r w:rsidRPr="00DF207A">
              <w:rPr>
                <w:sz w:val="18"/>
                <w:szCs w:val="18"/>
              </w:rPr>
              <w:t>Physician</w:t>
            </w:r>
            <w:r>
              <w:rPr>
                <w:sz w:val="18"/>
                <w:szCs w:val="18"/>
              </w:rPr>
              <w:t xml:space="preserve"> </w:t>
            </w:r>
            <w:r w:rsidRPr="00DF207A">
              <w:rPr>
                <w:sz w:val="18"/>
                <w:szCs w:val="18"/>
              </w:rPr>
              <w:t>+nurse</w:t>
            </w:r>
          </w:p>
          <w:p w:rsidR="00B31827" w:rsidRPr="00DF207A" w:rsidRDefault="00B31827" w:rsidP="00F040EA">
            <w:pPr>
              <w:spacing w:after="0" w:line="240" w:lineRule="auto"/>
              <w:ind w:firstLine="0"/>
              <w:jc w:val="left"/>
              <w:rPr>
                <w:sz w:val="18"/>
                <w:szCs w:val="18"/>
              </w:rPr>
            </w:pPr>
            <w:r w:rsidRPr="00DF207A">
              <w:rPr>
                <w:sz w:val="18"/>
                <w:szCs w:val="18"/>
              </w:rPr>
              <w:t>Physician</w:t>
            </w:r>
            <w:r>
              <w:rPr>
                <w:sz w:val="18"/>
                <w:szCs w:val="18"/>
              </w:rPr>
              <w:t xml:space="preserve"> </w:t>
            </w:r>
            <w:r w:rsidRPr="00DF207A">
              <w:rPr>
                <w:sz w:val="18"/>
                <w:szCs w:val="18"/>
              </w:rPr>
              <w:t>+dietician</w:t>
            </w:r>
          </w:p>
          <w:p w:rsidR="00B31827" w:rsidRPr="00DF207A" w:rsidRDefault="00B31827" w:rsidP="00F040EA">
            <w:pPr>
              <w:spacing w:after="0" w:line="240" w:lineRule="auto"/>
              <w:ind w:firstLine="0"/>
              <w:jc w:val="left"/>
              <w:rPr>
                <w:sz w:val="18"/>
                <w:szCs w:val="18"/>
              </w:rPr>
            </w:pPr>
            <w:r w:rsidRPr="00DF207A">
              <w:rPr>
                <w:sz w:val="18"/>
                <w:szCs w:val="18"/>
              </w:rPr>
              <w:t xml:space="preserve">All </w:t>
            </w:r>
            <w:r>
              <w:rPr>
                <w:sz w:val="18"/>
                <w:szCs w:val="18"/>
              </w:rPr>
              <w:t>healthcare professionals</w:t>
            </w:r>
          </w:p>
        </w:tc>
        <w:tc>
          <w:tcPr>
            <w:tcW w:w="1440" w:type="dxa"/>
            <w:tcBorders>
              <w:left w:val="nil"/>
              <w:bottom w:val="single" w:sz="4" w:space="0" w:color="auto"/>
              <w:right w:val="nil"/>
            </w:tcBorders>
          </w:tcPr>
          <w:p w:rsidR="00B31827" w:rsidRPr="00DF207A" w:rsidRDefault="00B31827" w:rsidP="00F040EA">
            <w:pPr>
              <w:spacing w:after="0" w:line="240" w:lineRule="auto"/>
              <w:ind w:firstLine="0"/>
              <w:jc w:val="left"/>
              <w:rPr>
                <w:sz w:val="18"/>
                <w:szCs w:val="18"/>
              </w:rPr>
            </w:pPr>
          </w:p>
          <w:p w:rsidR="00B31827" w:rsidRPr="00DF207A" w:rsidRDefault="00B31827" w:rsidP="00F040EA">
            <w:pPr>
              <w:spacing w:after="0" w:line="240" w:lineRule="auto"/>
              <w:ind w:firstLine="0"/>
              <w:jc w:val="left"/>
              <w:rPr>
                <w:sz w:val="18"/>
                <w:szCs w:val="18"/>
              </w:rPr>
            </w:pPr>
            <w:r w:rsidRPr="00DF207A">
              <w:rPr>
                <w:sz w:val="18"/>
                <w:szCs w:val="18"/>
              </w:rPr>
              <w:t>132 (52.8)</w:t>
            </w:r>
          </w:p>
          <w:p w:rsidR="00B31827" w:rsidRPr="00DF207A" w:rsidRDefault="00B31827" w:rsidP="00F040EA">
            <w:pPr>
              <w:spacing w:after="0" w:line="240" w:lineRule="auto"/>
              <w:ind w:left="68" w:firstLine="0"/>
              <w:jc w:val="left"/>
              <w:rPr>
                <w:sz w:val="18"/>
                <w:szCs w:val="18"/>
              </w:rPr>
            </w:pPr>
            <w:r w:rsidRPr="00DF207A">
              <w:rPr>
                <w:sz w:val="18"/>
                <w:szCs w:val="18"/>
              </w:rPr>
              <w:t>38 (15.2)</w:t>
            </w:r>
          </w:p>
          <w:p w:rsidR="00B31827" w:rsidRPr="00DF207A" w:rsidRDefault="00B31827" w:rsidP="00F040EA">
            <w:pPr>
              <w:spacing w:after="0" w:line="240" w:lineRule="auto"/>
              <w:ind w:left="68" w:firstLine="0"/>
              <w:jc w:val="left"/>
              <w:rPr>
                <w:sz w:val="18"/>
                <w:szCs w:val="18"/>
              </w:rPr>
            </w:pPr>
            <w:r w:rsidRPr="00DF207A">
              <w:rPr>
                <w:sz w:val="18"/>
                <w:szCs w:val="18"/>
              </w:rPr>
              <w:t>49 (19.6)</w:t>
            </w:r>
          </w:p>
          <w:p w:rsidR="00B31827" w:rsidRPr="00DF207A" w:rsidRDefault="00B31827" w:rsidP="00F040EA">
            <w:pPr>
              <w:spacing w:after="0" w:line="240" w:lineRule="auto"/>
              <w:ind w:left="68" w:firstLine="0"/>
              <w:jc w:val="left"/>
              <w:rPr>
                <w:sz w:val="18"/>
                <w:szCs w:val="18"/>
              </w:rPr>
            </w:pPr>
            <w:r w:rsidRPr="00DF207A">
              <w:rPr>
                <w:sz w:val="18"/>
                <w:szCs w:val="18"/>
              </w:rPr>
              <w:t>31 (12.4)</w:t>
            </w:r>
          </w:p>
        </w:tc>
        <w:tc>
          <w:tcPr>
            <w:tcW w:w="1440" w:type="dxa"/>
            <w:tcBorders>
              <w:left w:val="nil"/>
              <w:bottom w:val="single" w:sz="4" w:space="0" w:color="auto"/>
              <w:right w:val="nil"/>
            </w:tcBorders>
          </w:tcPr>
          <w:p w:rsidR="00B31827" w:rsidRDefault="00B31827" w:rsidP="00F040EA">
            <w:pPr>
              <w:spacing w:after="0" w:line="240" w:lineRule="auto"/>
              <w:ind w:firstLine="0"/>
              <w:jc w:val="left"/>
              <w:rPr>
                <w:sz w:val="18"/>
                <w:szCs w:val="18"/>
                <w:rtl/>
              </w:rPr>
            </w:pPr>
          </w:p>
          <w:p w:rsidR="00B31827" w:rsidRDefault="00B31827" w:rsidP="00F040EA">
            <w:pPr>
              <w:spacing w:after="0" w:line="240" w:lineRule="auto"/>
              <w:ind w:left="64" w:firstLine="0"/>
              <w:jc w:val="left"/>
              <w:rPr>
                <w:sz w:val="18"/>
                <w:szCs w:val="18"/>
              </w:rPr>
            </w:pPr>
            <w:r>
              <w:rPr>
                <w:sz w:val="18"/>
                <w:szCs w:val="18"/>
              </w:rPr>
              <w:t>97 (53.6%)</w:t>
            </w:r>
          </w:p>
          <w:p w:rsidR="00B31827" w:rsidRDefault="00B31827" w:rsidP="00F040EA">
            <w:pPr>
              <w:spacing w:after="0" w:line="240" w:lineRule="auto"/>
              <w:ind w:left="64" w:firstLine="0"/>
              <w:jc w:val="left"/>
              <w:rPr>
                <w:sz w:val="18"/>
                <w:szCs w:val="18"/>
              </w:rPr>
            </w:pPr>
            <w:r>
              <w:rPr>
                <w:sz w:val="18"/>
                <w:szCs w:val="18"/>
              </w:rPr>
              <w:t>24 (13.3%)</w:t>
            </w:r>
          </w:p>
          <w:p w:rsidR="00B31827" w:rsidRDefault="00B31827" w:rsidP="00F040EA">
            <w:pPr>
              <w:spacing w:after="0" w:line="240" w:lineRule="auto"/>
              <w:ind w:left="64" w:firstLine="0"/>
              <w:jc w:val="left"/>
              <w:rPr>
                <w:sz w:val="18"/>
                <w:szCs w:val="18"/>
              </w:rPr>
            </w:pPr>
            <w:r>
              <w:rPr>
                <w:sz w:val="18"/>
                <w:szCs w:val="18"/>
              </w:rPr>
              <w:t>35 (19.3%)</w:t>
            </w:r>
          </w:p>
          <w:p w:rsidR="00B31827" w:rsidRDefault="00B31827" w:rsidP="00F040EA">
            <w:pPr>
              <w:spacing w:after="0" w:line="240" w:lineRule="auto"/>
              <w:ind w:left="64" w:firstLine="0"/>
              <w:jc w:val="left"/>
              <w:rPr>
                <w:sz w:val="18"/>
                <w:szCs w:val="18"/>
              </w:rPr>
            </w:pPr>
            <w:r>
              <w:rPr>
                <w:sz w:val="18"/>
                <w:szCs w:val="18"/>
              </w:rPr>
              <w:t>25 (13.8%)</w:t>
            </w:r>
          </w:p>
        </w:tc>
        <w:tc>
          <w:tcPr>
            <w:tcW w:w="1350" w:type="dxa"/>
            <w:gridSpan w:val="2"/>
            <w:tcBorders>
              <w:left w:val="nil"/>
              <w:bottom w:val="single" w:sz="4" w:space="0" w:color="auto"/>
              <w:right w:val="nil"/>
            </w:tcBorders>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35 (50.7%)</w:t>
            </w:r>
          </w:p>
          <w:p w:rsidR="00B31827" w:rsidRDefault="00B31827" w:rsidP="00F040EA">
            <w:pPr>
              <w:spacing w:after="0" w:line="240" w:lineRule="auto"/>
              <w:ind w:firstLine="0"/>
              <w:jc w:val="left"/>
              <w:rPr>
                <w:sz w:val="18"/>
                <w:szCs w:val="18"/>
              </w:rPr>
            </w:pPr>
            <w:r>
              <w:rPr>
                <w:sz w:val="18"/>
                <w:szCs w:val="18"/>
              </w:rPr>
              <w:t>14 (20.3%)</w:t>
            </w:r>
          </w:p>
          <w:p w:rsidR="00B31827" w:rsidRDefault="00B31827" w:rsidP="00F040EA">
            <w:pPr>
              <w:spacing w:after="0" w:line="240" w:lineRule="auto"/>
              <w:ind w:firstLine="0"/>
              <w:jc w:val="left"/>
              <w:rPr>
                <w:sz w:val="18"/>
                <w:szCs w:val="18"/>
              </w:rPr>
            </w:pPr>
            <w:r>
              <w:rPr>
                <w:sz w:val="18"/>
                <w:szCs w:val="18"/>
              </w:rPr>
              <w:t>14 (20.3%)</w:t>
            </w:r>
          </w:p>
          <w:p w:rsidR="00B31827" w:rsidRDefault="00B31827" w:rsidP="00F040EA">
            <w:pPr>
              <w:spacing w:after="0" w:line="240" w:lineRule="auto"/>
              <w:ind w:left="72" w:firstLine="0"/>
              <w:jc w:val="left"/>
              <w:rPr>
                <w:sz w:val="18"/>
                <w:szCs w:val="18"/>
              </w:rPr>
            </w:pPr>
            <w:r>
              <w:rPr>
                <w:sz w:val="18"/>
                <w:szCs w:val="18"/>
              </w:rPr>
              <w:t>6 (8.7%)</w:t>
            </w:r>
          </w:p>
        </w:tc>
        <w:tc>
          <w:tcPr>
            <w:tcW w:w="1710" w:type="dxa"/>
            <w:tcBorders>
              <w:left w:val="nil"/>
              <w:bottom w:val="single" w:sz="4" w:space="0" w:color="auto"/>
              <w:right w:val="nil"/>
            </w:tcBorders>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left="342" w:firstLine="0"/>
              <w:jc w:val="left"/>
              <w:rPr>
                <w:sz w:val="18"/>
                <w:szCs w:val="18"/>
              </w:rPr>
            </w:pPr>
            <w:r>
              <w:rPr>
                <w:sz w:val="18"/>
                <w:szCs w:val="18"/>
              </w:rPr>
              <w:t>Reference (1)</w:t>
            </w:r>
          </w:p>
          <w:p w:rsidR="00B31827" w:rsidRDefault="00B31827" w:rsidP="00F040EA">
            <w:pPr>
              <w:spacing w:after="0" w:line="240" w:lineRule="auto"/>
              <w:ind w:left="342" w:firstLine="0"/>
              <w:jc w:val="left"/>
              <w:rPr>
                <w:sz w:val="18"/>
                <w:szCs w:val="18"/>
              </w:rPr>
            </w:pPr>
            <w:r>
              <w:rPr>
                <w:sz w:val="18"/>
                <w:szCs w:val="18"/>
              </w:rPr>
              <w:t>0.6 (0.3–1.3)</w:t>
            </w:r>
          </w:p>
          <w:p w:rsidR="00B31827" w:rsidRDefault="00B31827" w:rsidP="00F040EA">
            <w:pPr>
              <w:spacing w:after="0" w:line="240" w:lineRule="auto"/>
              <w:ind w:left="342" w:firstLine="0"/>
              <w:jc w:val="left"/>
              <w:rPr>
                <w:sz w:val="18"/>
                <w:szCs w:val="18"/>
              </w:rPr>
            </w:pPr>
            <w:r>
              <w:rPr>
                <w:sz w:val="18"/>
                <w:szCs w:val="18"/>
              </w:rPr>
              <w:t>0.9 (0.4–1.9)</w:t>
            </w:r>
          </w:p>
          <w:p w:rsidR="00B31827" w:rsidRDefault="00B31827" w:rsidP="00F040EA">
            <w:pPr>
              <w:spacing w:after="0" w:line="240" w:lineRule="auto"/>
              <w:ind w:left="342" w:firstLine="0"/>
              <w:jc w:val="left"/>
              <w:rPr>
                <w:sz w:val="18"/>
                <w:szCs w:val="18"/>
              </w:rPr>
            </w:pPr>
            <w:r>
              <w:rPr>
                <w:sz w:val="18"/>
                <w:szCs w:val="18"/>
              </w:rPr>
              <w:t>1.5 (0.6–4.0)</w:t>
            </w:r>
          </w:p>
        </w:tc>
        <w:tc>
          <w:tcPr>
            <w:tcW w:w="810" w:type="dxa"/>
            <w:tcBorders>
              <w:left w:val="nil"/>
              <w:bottom w:val="single" w:sz="4" w:space="0" w:color="auto"/>
              <w:right w:val="nil"/>
            </w:tcBorders>
          </w:tcPr>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r>
              <w:rPr>
                <w:sz w:val="18"/>
                <w:szCs w:val="18"/>
              </w:rPr>
              <w:t>0.435</w:t>
            </w:r>
          </w:p>
          <w:p w:rsidR="00B31827" w:rsidRDefault="00B31827" w:rsidP="00F040EA">
            <w:pPr>
              <w:spacing w:after="0" w:line="240" w:lineRule="auto"/>
              <w:jc w:val="left"/>
              <w:rPr>
                <w:sz w:val="18"/>
                <w:szCs w:val="18"/>
              </w:rPr>
            </w:pPr>
          </w:p>
          <w:p w:rsidR="00B31827" w:rsidRDefault="00B31827" w:rsidP="00F040EA">
            <w:pPr>
              <w:spacing w:after="0" w:line="240" w:lineRule="auto"/>
              <w:ind w:firstLine="0"/>
              <w:jc w:val="left"/>
              <w:rPr>
                <w:sz w:val="18"/>
                <w:szCs w:val="18"/>
              </w:rPr>
            </w:pPr>
          </w:p>
          <w:p w:rsidR="00B31827" w:rsidRDefault="00B31827" w:rsidP="00F040EA">
            <w:pPr>
              <w:spacing w:after="0" w:line="240" w:lineRule="auto"/>
              <w:ind w:firstLine="0"/>
              <w:jc w:val="left"/>
              <w:rPr>
                <w:sz w:val="18"/>
                <w:szCs w:val="18"/>
              </w:rPr>
            </w:pPr>
          </w:p>
        </w:tc>
      </w:tr>
    </w:tbl>
    <w:p w:rsidR="00B31827" w:rsidRPr="00B11514" w:rsidRDefault="00B31827" w:rsidP="00B11514">
      <w:pPr>
        <w:pStyle w:val="Caption"/>
        <w:spacing w:after="0"/>
        <w:ind w:left="-142" w:firstLine="0"/>
        <w:rPr>
          <w:b w:val="0"/>
          <w:bCs w:val="0"/>
          <w:color w:val="auto"/>
          <w:sz w:val="22"/>
          <w:szCs w:val="22"/>
        </w:rPr>
      </w:pPr>
      <w:bookmarkStart w:id="5" w:name="_Toc490040579"/>
      <w:bookmarkStart w:id="6" w:name="_Toc490733496"/>
      <w:r w:rsidRPr="00D92BFF">
        <w:rPr>
          <w:color w:val="auto"/>
          <w:sz w:val="22"/>
          <w:szCs w:val="22"/>
        </w:rPr>
        <w:lastRenderedPageBreak/>
        <w:t>Table 3:</w:t>
      </w:r>
      <w:bookmarkEnd w:id="5"/>
      <w:r w:rsidRPr="009242AB">
        <w:rPr>
          <w:b w:val="0"/>
          <w:bCs w:val="0"/>
          <w:color w:val="auto"/>
          <w:sz w:val="22"/>
          <w:szCs w:val="22"/>
        </w:rPr>
        <w:t xml:space="preserve"> </w:t>
      </w:r>
      <w:r w:rsidRPr="00D92BFF">
        <w:rPr>
          <w:b w:val="0"/>
          <w:bCs w:val="0"/>
          <w:color w:val="auto"/>
          <w:sz w:val="22"/>
          <w:szCs w:val="22"/>
        </w:rPr>
        <w:t xml:space="preserve">Multivariate </w:t>
      </w:r>
      <w:r>
        <w:rPr>
          <w:b w:val="0"/>
          <w:bCs w:val="0"/>
          <w:color w:val="auto"/>
          <w:sz w:val="22"/>
          <w:szCs w:val="22"/>
        </w:rPr>
        <w:t>a</w:t>
      </w:r>
      <w:r w:rsidRPr="00D92BFF">
        <w:rPr>
          <w:b w:val="0"/>
          <w:bCs w:val="0"/>
          <w:color w:val="auto"/>
          <w:sz w:val="22"/>
          <w:szCs w:val="22"/>
        </w:rPr>
        <w:t xml:space="preserve">nalysis of </w:t>
      </w:r>
      <w:r>
        <w:rPr>
          <w:b w:val="0"/>
          <w:bCs w:val="0"/>
          <w:color w:val="auto"/>
          <w:sz w:val="22"/>
          <w:szCs w:val="22"/>
        </w:rPr>
        <w:t>f</w:t>
      </w:r>
      <w:r w:rsidRPr="00D92BFF">
        <w:rPr>
          <w:b w:val="0"/>
          <w:bCs w:val="0"/>
          <w:color w:val="auto"/>
          <w:sz w:val="22"/>
          <w:szCs w:val="22"/>
        </w:rPr>
        <w:t xml:space="preserve">actors </w:t>
      </w:r>
      <w:r>
        <w:rPr>
          <w:b w:val="0"/>
          <w:bCs w:val="0"/>
          <w:color w:val="auto"/>
          <w:sz w:val="22"/>
          <w:szCs w:val="22"/>
        </w:rPr>
        <w:t>r</w:t>
      </w:r>
      <w:r w:rsidRPr="00D92BFF">
        <w:rPr>
          <w:b w:val="0"/>
          <w:bCs w:val="0"/>
          <w:color w:val="auto"/>
          <w:sz w:val="22"/>
          <w:szCs w:val="22"/>
        </w:rPr>
        <w:t xml:space="preserve">elated to </w:t>
      </w:r>
      <w:r>
        <w:rPr>
          <w:b w:val="0"/>
          <w:bCs w:val="0"/>
          <w:color w:val="auto"/>
          <w:sz w:val="22"/>
          <w:szCs w:val="22"/>
        </w:rPr>
        <w:t>m</w:t>
      </w:r>
      <w:r w:rsidRPr="00D92BFF">
        <w:rPr>
          <w:b w:val="0"/>
          <w:bCs w:val="0"/>
          <w:color w:val="auto"/>
          <w:sz w:val="22"/>
          <w:szCs w:val="22"/>
        </w:rPr>
        <w:t xml:space="preserve">edication </w:t>
      </w:r>
      <w:r>
        <w:rPr>
          <w:b w:val="0"/>
          <w:bCs w:val="0"/>
          <w:color w:val="auto"/>
          <w:sz w:val="22"/>
          <w:szCs w:val="22"/>
        </w:rPr>
        <w:t>a</w:t>
      </w:r>
      <w:r w:rsidRPr="00D92BFF">
        <w:rPr>
          <w:b w:val="0"/>
          <w:bCs w:val="0"/>
          <w:color w:val="auto"/>
          <w:sz w:val="22"/>
          <w:szCs w:val="22"/>
        </w:rPr>
        <w:t>dherence</w:t>
      </w:r>
      <w:bookmarkEnd w:id="6"/>
    </w:p>
    <w:tbl>
      <w:tblPr>
        <w:tblW w:w="8370" w:type="dxa"/>
        <w:tblLayout w:type="fixed"/>
        <w:tblLook w:val="04A0" w:firstRow="1" w:lastRow="0" w:firstColumn="1" w:lastColumn="0" w:noHBand="0" w:noVBand="1"/>
      </w:tblPr>
      <w:tblGrid>
        <w:gridCol w:w="1170"/>
        <w:gridCol w:w="468"/>
        <w:gridCol w:w="1017"/>
        <w:gridCol w:w="1215"/>
        <w:gridCol w:w="1350"/>
        <w:gridCol w:w="2340"/>
        <w:gridCol w:w="810"/>
      </w:tblGrid>
      <w:tr w:rsidR="00B31827" w:rsidRPr="00D92BFF" w:rsidTr="00F040EA">
        <w:trPr>
          <w:trHeight w:val="77"/>
          <w:tblHeader/>
        </w:trPr>
        <w:tc>
          <w:tcPr>
            <w:tcW w:w="1170" w:type="dxa"/>
            <w:tcBorders>
              <w:top w:val="single" w:sz="4" w:space="0" w:color="auto"/>
              <w:left w:val="nil"/>
              <w:bottom w:val="single" w:sz="4" w:space="0" w:color="auto"/>
              <w:right w:val="nil"/>
            </w:tcBorders>
            <w:hideMark/>
          </w:tcPr>
          <w:p w:rsidR="00B31827" w:rsidRPr="00D92BFF" w:rsidRDefault="00B31827" w:rsidP="00F040EA">
            <w:pPr>
              <w:spacing w:after="0" w:line="240" w:lineRule="auto"/>
              <w:ind w:left="72" w:firstLine="0"/>
              <w:rPr>
                <w:rFonts w:asciiTheme="majorBidi" w:hAnsiTheme="majorBidi" w:cstheme="majorBidi"/>
                <w:b/>
                <w:sz w:val="18"/>
              </w:rPr>
            </w:pPr>
            <w:r w:rsidRPr="00D92BFF">
              <w:rPr>
                <w:rFonts w:asciiTheme="majorBidi" w:hAnsiTheme="majorBidi" w:cstheme="majorBidi"/>
                <w:b/>
                <w:sz w:val="18"/>
                <w:szCs w:val="22"/>
              </w:rPr>
              <w:t>Variable</w:t>
            </w:r>
          </w:p>
        </w:tc>
        <w:tc>
          <w:tcPr>
            <w:tcW w:w="1485" w:type="dxa"/>
            <w:gridSpan w:val="2"/>
            <w:tcBorders>
              <w:top w:val="single" w:sz="4" w:space="0" w:color="auto"/>
              <w:left w:val="nil"/>
              <w:bottom w:val="single" w:sz="4" w:space="0" w:color="auto"/>
              <w:right w:val="nil"/>
            </w:tcBorders>
            <w:hideMark/>
          </w:tcPr>
          <w:p w:rsidR="00B31827" w:rsidRPr="00D92BFF" w:rsidRDefault="00B31827" w:rsidP="00F040EA">
            <w:pPr>
              <w:spacing w:after="0" w:line="240" w:lineRule="auto"/>
              <w:ind w:left="145" w:firstLine="0"/>
              <w:rPr>
                <w:rFonts w:asciiTheme="majorBidi" w:hAnsiTheme="majorBidi" w:cstheme="majorBidi"/>
                <w:b/>
                <w:sz w:val="18"/>
              </w:rPr>
            </w:pPr>
            <w:r w:rsidRPr="00D92BFF">
              <w:rPr>
                <w:rFonts w:asciiTheme="majorBidi" w:hAnsiTheme="majorBidi" w:cstheme="majorBidi"/>
                <w:b/>
                <w:sz w:val="18"/>
                <w:szCs w:val="22"/>
              </w:rPr>
              <w:t>Coefficient (β)</w:t>
            </w:r>
          </w:p>
        </w:tc>
        <w:tc>
          <w:tcPr>
            <w:tcW w:w="1215" w:type="dxa"/>
            <w:tcBorders>
              <w:top w:val="single" w:sz="4" w:space="0" w:color="auto"/>
              <w:left w:val="nil"/>
              <w:bottom w:val="single" w:sz="4" w:space="0" w:color="auto"/>
              <w:right w:val="nil"/>
            </w:tcBorders>
            <w:hideMark/>
          </w:tcPr>
          <w:p w:rsidR="00B31827" w:rsidRPr="00D92BFF" w:rsidRDefault="00B31827" w:rsidP="00F040EA">
            <w:pPr>
              <w:spacing w:after="0" w:line="240" w:lineRule="auto"/>
              <w:ind w:left="49" w:firstLine="0"/>
              <w:rPr>
                <w:rFonts w:asciiTheme="majorBidi" w:hAnsiTheme="majorBidi" w:cstheme="majorBidi"/>
                <w:b/>
                <w:sz w:val="18"/>
              </w:rPr>
            </w:pPr>
            <w:r w:rsidRPr="00D92BFF">
              <w:rPr>
                <w:rFonts w:asciiTheme="majorBidi" w:hAnsiTheme="majorBidi" w:cstheme="majorBidi"/>
                <w:b/>
                <w:sz w:val="18"/>
                <w:szCs w:val="22"/>
              </w:rPr>
              <w:t>S.E</w:t>
            </w:r>
          </w:p>
        </w:tc>
        <w:tc>
          <w:tcPr>
            <w:tcW w:w="1350" w:type="dxa"/>
            <w:tcBorders>
              <w:top w:val="single" w:sz="4" w:space="0" w:color="auto"/>
              <w:left w:val="nil"/>
              <w:bottom w:val="single" w:sz="4" w:space="0" w:color="auto"/>
              <w:right w:val="nil"/>
            </w:tcBorders>
            <w:hideMark/>
          </w:tcPr>
          <w:p w:rsidR="00B31827" w:rsidRPr="00D92BFF" w:rsidRDefault="00B31827" w:rsidP="00F040EA">
            <w:pPr>
              <w:spacing w:after="0" w:line="240" w:lineRule="auto"/>
              <w:ind w:firstLine="0"/>
              <w:rPr>
                <w:rFonts w:asciiTheme="majorBidi" w:hAnsiTheme="majorBidi" w:cstheme="majorBidi"/>
                <w:b/>
                <w:sz w:val="18"/>
              </w:rPr>
            </w:pPr>
            <w:r w:rsidRPr="00D92BFF">
              <w:rPr>
                <w:rFonts w:asciiTheme="majorBidi" w:hAnsiTheme="majorBidi" w:cstheme="majorBidi"/>
                <w:b/>
                <w:sz w:val="18"/>
                <w:szCs w:val="22"/>
              </w:rPr>
              <w:t>Wald</w:t>
            </w:r>
          </w:p>
        </w:tc>
        <w:tc>
          <w:tcPr>
            <w:tcW w:w="2340" w:type="dxa"/>
            <w:tcBorders>
              <w:top w:val="single" w:sz="4" w:space="0" w:color="auto"/>
              <w:left w:val="nil"/>
              <w:bottom w:val="single" w:sz="4" w:space="0" w:color="auto"/>
              <w:right w:val="nil"/>
            </w:tcBorders>
            <w:hideMark/>
          </w:tcPr>
          <w:p w:rsidR="00B31827" w:rsidRPr="00D92BFF" w:rsidRDefault="00B31827" w:rsidP="00B11514">
            <w:pPr>
              <w:spacing w:after="0" w:line="240" w:lineRule="auto"/>
              <w:ind w:firstLine="0"/>
              <w:rPr>
                <w:rFonts w:asciiTheme="majorBidi" w:hAnsiTheme="majorBidi" w:cstheme="majorBidi"/>
                <w:b/>
                <w:sz w:val="18"/>
              </w:rPr>
            </w:pPr>
            <w:r w:rsidRPr="00D92BFF">
              <w:rPr>
                <w:rFonts w:asciiTheme="majorBidi" w:hAnsiTheme="majorBidi" w:cstheme="majorBidi"/>
                <w:b/>
                <w:sz w:val="18"/>
                <w:szCs w:val="22"/>
              </w:rPr>
              <w:t xml:space="preserve">Odds </w:t>
            </w:r>
            <w:r>
              <w:rPr>
                <w:rFonts w:asciiTheme="majorBidi" w:hAnsiTheme="majorBidi" w:cstheme="majorBidi"/>
                <w:b/>
                <w:sz w:val="18"/>
                <w:szCs w:val="22"/>
              </w:rPr>
              <w:t>r</w:t>
            </w:r>
            <w:r w:rsidRPr="00D92BFF">
              <w:rPr>
                <w:rFonts w:asciiTheme="majorBidi" w:hAnsiTheme="majorBidi" w:cstheme="majorBidi"/>
                <w:b/>
                <w:sz w:val="18"/>
                <w:szCs w:val="22"/>
              </w:rPr>
              <w:t>atio with 95% C.I</w:t>
            </w:r>
          </w:p>
        </w:tc>
        <w:tc>
          <w:tcPr>
            <w:tcW w:w="810" w:type="dxa"/>
            <w:tcBorders>
              <w:top w:val="single" w:sz="4" w:space="0" w:color="auto"/>
              <w:left w:val="nil"/>
              <w:bottom w:val="single" w:sz="4" w:space="0" w:color="auto"/>
              <w:right w:val="nil"/>
            </w:tcBorders>
            <w:hideMark/>
          </w:tcPr>
          <w:p w:rsidR="00B31827" w:rsidRPr="00D92BFF" w:rsidRDefault="00B31827" w:rsidP="00B11514">
            <w:pPr>
              <w:spacing w:after="0" w:line="240" w:lineRule="auto"/>
              <w:ind w:left="-98" w:firstLine="0"/>
              <w:rPr>
                <w:rFonts w:asciiTheme="majorBidi" w:hAnsiTheme="majorBidi" w:cstheme="majorBidi"/>
                <w:b/>
                <w:sz w:val="18"/>
              </w:rPr>
            </w:pPr>
            <w:r w:rsidRPr="00D92BFF">
              <w:rPr>
                <w:rFonts w:asciiTheme="majorBidi" w:hAnsiTheme="majorBidi" w:cstheme="majorBidi"/>
                <w:b/>
                <w:sz w:val="18"/>
                <w:szCs w:val="22"/>
              </w:rPr>
              <w:t>P–</w:t>
            </w:r>
            <w:r>
              <w:rPr>
                <w:rFonts w:asciiTheme="majorBidi" w:hAnsiTheme="majorBidi" w:cstheme="majorBidi"/>
                <w:b/>
                <w:sz w:val="18"/>
                <w:szCs w:val="22"/>
              </w:rPr>
              <w:t>v</w:t>
            </w:r>
            <w:r w:rsidRPr="00D92BFF">
              <w:rPr>
                <w:rFonts w:asciiTheme="majorBidi" w:hAnsiTheme="majorBidi" w:cstheme="majorBidi"/>
                <w:b/>
                <w:sz w:val="18"/>
                <w:szCs w:val="22"/>
              </w:rPr>
              <w:t>alue</w:t>
            </w:r>
          </w:p>
        </w:tc>
      </w:tr>
      <w:tr w:rsidR="00B31827" w:rsidTr="00F040EA">
        <w:trPr>
          <w:trHeight w:val="620"/>
        </w:trPr>
        <w:tc>
          <w:tcPr>
            <w:tcW w:w="1638" w:type="dxa"/>
            <w:gridSpan w:val="2"/>
            <w:tcBorders>
              <w:top w:val="single" w:sz="4" w:space="0" w:color="auto"/>
              <w:left w:val="nil"/>
              <w:bottom w:val="nil"/>
              <w:right w:val="nil"/>
            </w:tcBorders>
            <w:hideMark/>
          </w:tcPr>
          <w:p w:rsidR="00B31827" w:rsidRDefault="00B31827" w:rsidP="00F040EA">
            <w:pPr>
              <w:spacing w:after="0" w:line="240" w:lineRule="auto"/>
              <w:ind w:left="-18" w:firstLine="0"/>
              <w:jc w:val="left"/>
              <w:rPr>
                <w:rFonts w:asciiTheme="majorBidi" w:hAnsiTheme="majorBidi" w:cstheme="majorBidi"/>
                <w:bCs/>
                <w:sz w:val="18"/>
              </w:rPr>
            </w:pPr>
            <w:r>
              <w:rPr>
                <w:rFonts w:asciiTheme="majorBidi" w:hAnsiTheme="majorBidi" w:cstheme="majorBidi"/>
                <w:bCs/>
                <w:sz w:val="18"/>
                <w:szCs w:val="22"/>
              </w:rPr>
              <w:t xml:space="preserve">Gender </w:t>
            </w:r>
          </w:p>
          <w:p w:rsidR="00B31827" w:rsidRDefault="00B31827" w:rsidP="00F040EA">
            <w:pPr>
              <w:spacing w:after="0" w:line="240" w:lineRule="auto"/>
              <w:ind w:left="72" w:firstLine="0"/>
              <w:jc w:val="left"/>
              <w:rPr>
                <w:rFonts w:asciiTheme="majorBidi" w:hAnsiTheme="majorBidi" w:cstheme="majorBidi"/>
                <w:sz w:val="18"/>
              </w:rPr>
            </w:pPr>
            <w:r>
              <w:rPr>
                <w:rFonts w:asciiTheme="majorBidi" w:hAnsiTheme="majorBidi" w:cstheme="majorBidi"/>
                <w:sz w:val="18"/>
                <w:szCs w:val="22"/>
              </w:rPr>
              <w:t>Male</w:t>
            </w:r>
          </w:p>
          <w:p w:rsidR="00B31827" w:rsidRDefault="00B31827" w:rsidP="00F040EA">
            <w:pPr>
              <w:spacing w:after="0" w:line="240" w:lineRule="auto"/>
              <w:ind w:left="72" w:firstLine="0"/>
              <w:jc w:val="left"/>
              <w:rPr>
                <w:rFonts w:asciiTheme="majorBidi" w:hAnsiTheme="majorBidi" w:cstheme="majorBidi"/>
                <w:sz w:val="18"/>
              </w:rPr>
            </w:pPr>
            <w:r>
              <w:rPr>
                <w:rFonts w:asciiTheme="majorBidi" w:hAnsiTheme="majorBidi" w:cstheme="majorBidi"/>
                <w:sz w:val="18"/>
                <w:szCs w:val="22"/>
              </w:rPr>
              <w:t>Female</w:t>
            </w:r>
          </w:p>
        </w:tc>
        <w:tc>
          <w:tcPr>
            <w:tcW w:w="1017" w:type="dxa"/>
            <w:tcBorders>
              <w:top w:val="single" w:sz="4" w:space="0" w:color="auto"/>
              <w:left w:val="nil"/>
              <w:bottom w:val="nil"/>
              <w:right w:val="nil"/>
            </w:tcBorders>
          </w:tcPr>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sz w:val="18"/>
              </w:rPr>
            </w:pPr>
            <w:r>
              <w:rPr>
                <w:rFonts w:asciiTheme="majorBidi" w:hAnsiTheme="majorBidi" w:cstheme="majorBidi"/>
                <w:color w:val="000000"/>
                <w:sz w:val="18"/>
                <w:szCs w:val="22"/>
              </w:rPr>
              <w:t>–0.92</w:t>
            </w:r>
          </w:p>
        </w:tc>
        <w:tc>
          <w:tcPr>
            <w:tcW w:w="1215" w:type="dxa"/>
            <w:tcBorders>
              <w:top w:val="single" w:sz="4" w:space="0" w:color="auto"/>
              <w:left w:val="nil"/>
              <w:bottom w:val="nil"/>
              <w:right w:val="nil"/>
            </w:tcBorders>
          </w:tcPr>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sz w:val="18"/>
              </w:rPr>
            </w:pPr>
            <w:r>
              <w:rPr>
                <w:rFonts w:asciiTheme="majorBidi" w:hAnsiTheme="majorBidi" w:cstheme="majorBidi"/>
                <w:color w:val="000000"/>
                <w:sz w:val="18"/>
                <w:szCs w:val="22"/>
              </w:rPr>
              <w:t>0.30</w:t>
            </w:r>
          </w:p>
        </w:tc>
        <w:tc>
          <w:tcPr>
            <w:tcW w:w="1350" w:type="dxa"/>
            <w:tcBorders>
              <w:top w:val="single" w:sz="4" w:space="0" w:color="auto"/>
              <w:left w:val="nil"/>
              <w:bottom w:val="nil"/>
              <w:right w:val="nil"/>
            </w:tcBorders>
          </w:tcPr>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sz w:val="18"/>
              </w:rPr>
            </w:pPr>
            <w:r>
              <w:rPr>
                <w:rFonts w:asciiTheme="majorBidi" w:hAnsiTheme="majorBidi" w:cstheme="majorBidi"/>
                <w:color w:val="000000"/>
                <w:sz w:val="18"/>
                <w:szCs w:val="22"/>
              </w:rPr>
              <w:t>9.52</w:t>
            </w:r>
          </w:p>
        </w:tc>
        <w:tc>
          <w:tcPr>
            <w:tcW w:w="2340" w:type="dxa"/>
            <w:tcBorders>
              <w:top w:val="single" w:sz="4" w:space="0" w:color="auto"/>
              <w:left w:val="nil"/>
              <w:bottom w:val="nil"/>
              <w:right w:val="nil"/>
            </w:tcBorders>
          </w:tcPr>
          <w:p w:rsidR="00B31827" w:rsidRDefault="00B31827" w:rsidP="00F040EA">
            <w:pPr>
              <w:spacing w:after="0" w:line="240" w:lineRule="auto"/>
              <w:ind w:left="342" w:firstLine="0"/>
              <w:jc w:val="left"/>
              <w:rPr>
                <w:rFonts w:asciiTheme="majorBidi" w:hAnsiTheme="majorBidi" w:cstheme="majorBidi"/>
                <w:sz w:val="18"/>
              </w:rPr>
            </w:pPr>
          </w:p>
          <w:p w:rsidR="00B31827" w:rsidRDefault="00B31827" w:rsidP="00F040EA">
            <w:pPr>
              <w:spacing w:after="0" w:line="240" w:lineRule="auto"/>
              <w:ind w:left="432" w:firstLine="0"/>
              <w:jc w:val="left"/>
              <w:rPr>
                <w:rFonts w:asciiTheme="majorBidi" w:hAnsiTheme="majorBidi" w:cstheme="majorBidi"/>
                <w:sz w:val="18"/>
              </w:rPr>
            </w:pPr>
            <w:r>
              <w:rPr>
                <w:rFonts w:asciiTheme="majorBidi" w:hAnsiTheme="majorBidi" w:cstheme="majorBidi"/>
                <w:sz w:val="18"/>
                <w:szCs w:val="22"/>
              </w:rPr>
              <w:t>Reference (1)</w:t>
            </w:r>
          </w:p>
          <w:p w:rsidR="00B31827" w:rsidRDefault="00B31827" w:rsidP="00F040EA">
            <w:pPr>
              <w:spacing w:after="0" w:line="240" w:lineRule="auto"/>
              <w:ind w:left="342" w:firstLine="0"/>
              <w:jc w:val="left"/>
              <w:rPr>
                <w:rFonts w:asciiTheme="majorBidi" w:hAnsiTheme="majorBidi" w:cstheme="majorBidi"/>
                <w:sz w:val="18"/>
              </w:rPr>
            </w:pPr>
            <w:r>
              <w:rPr>
                <w:rFonts w:asciiTheme="majorBidi" w:hAnsiTheme="majorBidi" w:cstheme="majorBidi"/>
                <w:color w:val="000000"/>
                <w:sz w:val="18"/>
                <w:szCs w:val="22"/>
              </w:rPr>
              <w:t>0.40</w:t>
            </w:r>
            <w:r>
              <w:rPr>
                <w:rFonts w:asciiTheme="majorBidi" w:hAnsiTheme="majorBidi" w:cstheme="majorBidi"/>
                <w:sz w:val="18"/>
                <w:szCs w:val="22"/>
              </w:rPr>
              <w:t xml:space="preserve"> (0</w:t>
            </w:r>
            <w:r>
              <w:rPr>
                <w:rFonts w:asciiTheme="majorBidi" w:hAnsiTheme="majorBidi" w:cstheme="majorBidi"/>
                <w:color w:val="000000"/>
                <w:sz w:val="18"/>
                <w:szCs w:val="22"/>
              </w:rPr>
              <w:t>.22</w:t>
            </w:r>
            <w:r>
              <w:rPr>
                <w:rFonts w:asciiTheme="majorBidi" w:hAnsiTheme="majorBidi" w:cstheme="majorBidi"/>
                <w:sz w:val="18"/>
                <w:szCs w:val="22"/>
              </w:rPr>
              <w:t>–0</w:t>
            </w:r>
            <w:r>
              <w:rPr>
                <w:rFonts w:asciiTheme="majorBidi" w:hAnsiTheme="majorBidi" w:cstheme="majorBidi"/>
                <w:color w:val="000000"/>
                <w:sz w:val="18"/>
                <w:szCs w:val="22"/>
              </w:rPr>
              <w:t>.72</w:t>
            </w:r>
            <w:r>
              <w:rPr>
                <w:rFonts w:asciiTheme="majorBidi" w:hAnsiTheme="majorBidi" w:cstheme="majorBidi"/>
                <w:sz w:val="18"/>
                <w:szCs w:val="22"/>
              </w:rPr>
              <w:t>)</w:t>
            </w:r>
          </w:p>
        </w:tc>
        <w:tc>
          <w:tcPr>
            <w:tcW w:w="810" w:type="dxa"/>
            <w:tcBorders>
              <w:top w:val="single" w:sz="4" w:space="0" w:color="auto"/>
              <w:left w:val="nil"/>
              <w:bottom w:val="nil"/>
              <w:right w:val="nil"/>
            </w:tcBorders>
          </w:tcPr>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color w:val="000000"/>
                <w:sz w:val="18"/>
              </w:rPr>
            </w:pPr>
          </w:p>
          <w:p w:rsidR="00B31827" w:rsidRDefault="00B31827" w:rsidP="00F040EA">
            <w:pPr>
              <w:spacing w:after="0" w:line="240" w:lineRule="auto"/>
              <w:ind w:firstLine="0"/>
              <w:jc w:val="left"/>
              <w:rPr>
                <w:rFonts w:asciiTheme="majorBidi" w:hAnsiTheme="majorBidi" w:cstheme="majorBidi"/>
                <w:sz w:val="18"/>
              </w:rPr>
            </w:pPr>
            <w:r>
              <w:rPr>
                <w:rFonts w:asciiTheme="majorBidi" w:hAnsiTheme="majorBidi" w:cstheme="majorBidi"/>
                <w:color w:val="000000"/>
                <w:sz w:val="18"/>
                <w:szCs w:val="22"/>
              </w:rPr>
              <w:t>0.002</w:t>
            </w:r>
          </w:p>
        </w:tc>
      </w:tr>
      <w:tr w:rsidR="00B31827" w:rsidTr="00F040EA">
        <w:trPr>
          <w:trHeight w:val="175"/>
        </w:trPr>
        <w:tc>
          <w:tcPr>
            <w:tcW w:w="1638" w:type="dxa"/>
            <w:gridSpan w:val="2"/>
            <w:tcBorders>
              <w:top w:val="nil"/>
              <w:left w:val="nil"/>
              <w:bottom w:val="single" w:sz="4" w:space="0" w:color="auto"/>
              <w:right w:val="nil"/>
            </w:tcBorders>
            <w:hideMark/>
          </w:tcPr>
          <w:p w:rsidR="00B31827" w:rsidRDefault="00B31827" w:rsidP="00F040EA">
            <w:pPr>
              <w:spacing w:after="0" w:line="240" w:lineRule="auto"/>
              <w:ind w:firstLine="0"/>
              <w:jc w:val="left"/>
              <w:rPr>
                <w:rFonts w:asciiTheme="majorBidi" w:hAnsiTheme="majorBidi" w:cstheme="majorBidi"/>
                <w:bCs/>
                <w:sz w:val="18"/>
              </w:rPr>
            </w:pPr>
            <w:r>
              <w:rPr>
                <w:rFonts w:asciiTheme="majorBidi" w:hAnsiTheme="majorBidi" w:cstheme="majorBidi"/>
                <w:bCs/>
                <w:sz w:val="18"/>
                <w:szCs w:val="22"/>
              </w:rPr>
              <w:t>Diabetes duration</w:t>
            </w:r>
          </w:p>
        </w:tc>
        <w:tc>
          <w:tcPr>
            <w:tcW w:w="1017" w:type="dxa"/>
            <w:tcBorders>
              <w:top w:val="nil"/>
              <w:left w:val="nil"/>
              <w:bottom w:val="single" w:sz="4" w:space="0" w:color="auto"/>
              <w:right w:val="nil"/>
            </w:tcBorders>
            <w:hideMark/>
          </w:tcPr>
          <w:p w:rsidR="00B31827" w:rsidRDefault="00B31827" w:rsidP="00F040EA">
            <w:pPr>
              <w:spacing w:after="0" w:line="240" w:lineRule="auto"/>
              <w:ind w:left="55" w:firstLine="0"/>
              <w:jc w:val="left"/>
              <w:rPr>
                <w:rFonts w:asciiTheme="majorBidi" w:hAnsiTheme="majorBidi" w:cstheme="majorBidi"/>
                <w:sz w:val="18"/>
              </w:rPr>
            </w:pPr>
            <w:r>
              <w:rPr>
                <w:rFonts w:asciiTheme="majorBidi" w:hAnsiTheme="majorBidi" w:cstheme="majorBidi"/>
                <w:color w:val="000000"/>
                <w:sz w:val="18"/>
                <w:szCs w:val="22"/>
              </w:rPr>
              <w:t xml:space="preserve"> 0.05</w:t>
            </w:r>
          </w:p>
        </w:tc>
        <w:tc>
          <w:tcPr>
            <w:tcW w:w="1215" w:type="dxa"/>
            <w:tcBorders>
              <w:top w:val="nil"/>
              <w:left w:val="nil"/>
              <w:bottom w:val="single" w:sz="4" w:space="0" w:color="auto"/>
              <w:right w:val="nil"/>
            </w:tcBorders>
            <w:hideMark/>
          </w:tcPr>
          <w:p w:rsidR="00B31827" w:rsidRDefault="00B31827" w:rsidP="00F040EA">
            <w:pPr>
              <w:spacing w:after="0" w:line="240" w:lineRule="auto"/>
              <w:ind w:firstLine="0"/>
              <w:jc w:val="left"/>
              <w:rPr>
                <w:rFonts w:asciiTheme="majorBidi" w:hAnsiTheme="majorBidi" w:cstheme="majorBidi"/>
                <w:sz w:val="18"/>
              </w:rPr>
            </w:pPr>
            <w:r>
              <w:rPr>
                <w:rFonts w:asciiTheme="majorBidi" w:hAnsiTheme="majorBidi" w:cstheme="majorBidi"/>
                <w:color w:val="000000"/>
                <w:sz w:val="18"/>
                <w:szCs w:val="22"/>
              </w:rPr>
              <w:t>0.02</w:t>
            </w:r>
          </w:p>
        </w:tc>
        <w:tc>
          <w:tcPr>
            <w:tcW w:w="1350" w:type="dxa"/>
            <w:tcBorders>
              <w:top w:val="nil"/>
              <w:left w:val="nil"/>
              <w:bottom w:val="single" w:sz="4" w:space="0" w:color="auto"/>
              <w:right w:val="nil"/>
            </w:tcBorders>
            <w:hideMark/>
          </w:tcPr>
          <w:p w:rsidR="00B31827" w:rsidRDefault="00B31827" w:rsidP="00F040EA">
            <w:pPr>
              <w:spacing w:after="0" w:line="240" w:lineRule="auto"/>
              <w:ind w:firstLine="0"/>
              <w:jc w:val="left"/>
              <w:rPr>
                <w:rFonts w:asciiTheme="majorBidi" w:hAnsiTheme="majorBidi" w:cstheme="majorBidi"/>
                <w:sz w:val="18"/>
              </w:rPr>
            </w:pPr>
            <w:r>
              <w:rPr>
                <w:rFonts w:asciiTheme="majorBidi" w:hAnsiTheme="majorBidi" w:cstheme="majorBidi"/>
                <w:color w:val="000000"/>
                <w:sz w:val="18"/>
                <w:szCs w:val="22"/>
              </w:rPr>
              <w:t>6.32</w:t>
            </w:r>
          </w:p>
        </w:tc>
        <w:tc>
          <w:tcPr>
            <w:tcW w:w="2340" w:type="dxa"/>
            <w:tcBorders>
              <w:top w:val="nil"/>
              <w:left w:val="nil"/>
              <w:bottom w:val="single" w:sz="4" w:space="0" w:color="auto"/>
              <w:right w:val="nil"/>
            </w:tcBorders>
            <w:hideMark/>
          </w:tcPr>
          <w:p w:rsidR="00B31827" w:rsidRDefault="00B31827" w:rsidP="00F040EA">
            <w:pPr>
              <w:spacing w:after="0" w:line="240" w:lineRule="auto"/>
              <w:ind w:left="342" w:firstLine="0"/>
              <w:jc w:val="left"/>
              <w:rPr>
                <w:rFonts w:asciiTheme="majorBidi" w:hAnsiTheme="majorBidi" w:cstheme="majorBidi"/>
                <w:sz w:val="18"/>
              </w:rPr>
            </w:pPr>
            <w:r>
              <w:rPr>
                <w:rFonts w:asciiTheme="majorBidi" w:hAnsiTheme="majorBidi" w:cstheme="majorBidi"/>
                <w:color w:val="000000"/>
                <w:sz w:val="18"/>
                <w:szCs w:val="22"/>
              </w:rPr>
              <w:t>1.05</w:t>
            </w:r>
            <w:r>
              <w:rPr>
                <w:rFonts w:asciiTheme="majorBidi" w:hAnsiTheme="majorBidi" w:cstheme="majorBidi"/>
                <w:sz w:val="18"/>
                <w:szCs w:val="22"/>
              </w:rPr>
              <w:t xml:space="preserve"> (</w:t>
            </w:r>
            <w:r>
              <w:rPr>
                <w:rFonts w:asciiTheme="majorBidi" w:hAnsiTheme="majorBidi" w:cstheme="majorBidi"/>
                <w:color w:val="000000"/>
                <w:sz w:val="18"/>
                <w:szCs w:val="22"/>
              </w:rPr>
              <w:t>1.01</w:t>
            </w:r>
            <w:r>
              <w:rPr>
                <w:rFonts w:asciiTheme="majorBidi" w:hAnsiTheme="majorBidi" w:cstheme="majorBidi"/>
                <w:sz w:val="18"/>
                <w:szCs w:val="22"/>
              </w:rPr>
              <w:t>–</w:t>
            </w:r>
            <w:r>
              <w:rPr>
                <w:rFonts w:asciiTheme="majorBidi" w:hAnsiTheme="majorBidi" w:cstheme="majorBidi"/>
                <w:color w:val="000000"/>
                <w:sz w:val="18"/>
                <w:szCs w:val="22"/>
              </w:rPr>
              <w:t>1.10</w:t>
            </w:r>
            <w:r>
              <w:rPr>
                <w:rFonts w:asciiTheme="majorBidi" w:hAnsiTheme="majorBidi" w:cstheme="majorBidi"/>
                <w:sz w:val="18"/>
                <w:szCs w:val="22"/>
              </w:rPr>
              <w:t>)</w:t>
            </w:r>
          </w:p>
        </w:tc>
        <w:tc>
          <w:tcPr>
            <w:tcW w:w="810" w:type="dxa"/>
            <w:tcBorders>
              <w:top w:val="nil"/>
              <w:left w:val="nil"/>
              <w:bottom w:val="single" w:sz="4" w:space="0" w:color="auto"/>
              <w:right w:val="nil"/>
            </w:tcBorders>
            <w:hideMark/>
          </w:tcPr>
          <w:p w:rsidR="00B31827" w:rsidRDefault="00B31827" w:rsidP="00F040EA">
            <w:pPr>
              <w:spacing w:after="0" w:line="240" w:lineRule="auto"/>
              <w:ind w:firstLine="0"/>
              <w:jc w:val="left"/>
              <w:rPr>
                <w:rFonts w:asciiTheme="majorBidi" w:hAnsiTheme="majorBidi" w:cstheme="majorBidi"/>
                <w:sz w:val="18"/>
              </w:rPr>
            </w:pPr>
            <w:r>
              <w:rPr>
                <w:rFonts w:asciiTheme="majorBidi" w:hAnsiTheme="majorBidi" w:cstheme="majorBidi"/>
                <w:color w:val="000000"/>
                <w:sz w:val="18"/>
                <w:szCs w:val="22"/>
              </w:rPr>
              <w:t>0.012</w:t>
            </w:r>
          </w:p>
        </w:tc>
      </w:tr>
    </w:tbl>
    <w:p w:rsidR="00B31827" w:rsidRPr="00B828E7" w:rsidRDefault="00B31827" w:rsidP="0024772F">
      <w:pPr>
        <w:spacing w:after="0" w:line="240" w:lineRule="auto"/>
        <w:ind w:firstLine="0"/>
        <w:rPr>
          <w:b/>
          <w:bCs/>
        </w:rPr>
      </w:pPr>
    </w:p>
    <w:p w:rsidR="00B31827" w:rsidRDefault="00B31827" w:rsidP="008C538B">
      <w:pPr>
        <w:spacing w:after="0" w:line="240" w:lineRule="auto"/>
        <w:ind w:firstLine="0"/>
        <w:rPr>
          <w:rFonts w:asciiTheme="majorBidi" w:hAnsiTheme="majorBidi" w:cstheme="majorBidi"/>
        </w:rPr>
      </w:pPr>
      <w:r w:rsidRPr="00DF3BCF">
        <w:rPr>
          <w:rFonts w:asciiTheme="majorBidi" w:hAnsiTheme="majorBidi" w:cstheme="majorBidi"/>
        </w:rPr>
        <w:t xml:space="preserve">The study results differed from other which found that male patients were less likely to be medication adherent </w:t>
      </w:r>
      <w:r>
        <w:rPr>
          <w:rFonts w:asciiTheme="majorBidi" w:hAnsiTheme="majorBidi" w:cstheme="majorBidi"/>
          <w:noProof/>
        </w:rPr>
        <w:t>(Fitzgerald et al., 1995)</w:t>
      </w:r>
      <w:r w:rsidRPr="00DF3BCF">
        <w:rPr>
          <w:rFonts w:asciiTheme="majorBidi" w:hAnsiTheme="majorBidi" w:cstheme="majorBidi"/>
        </w:rPr>
        <w:t xml:space="preserve">, while a significant relationship between gender and medication adherence was not found in a study by </w:t>
      </w:r>
      <w:r>
        <w:rPr>
          <w:rFonts w:asciiTheme="majorBidi" w:hAnsiTheme="majorBidi" w:cstheme="majorBidi"/>
          <w:noProof/>
        </w:rPr>
        <w:t>Senior et al. (2004)</w:t>
      </w:r>
      <w:r w:rsidRPr="00DF3BCF">
        <w:rPr>
          <w:rFonts w:asciiTheme="majorBidi" w:hAnsiTheme="majorBidi" w:cstheme="majorBidi"/>
        </w:rPr>
        <w:t xml:space="preserve">. However, the study results were in consistency with the findings of </w:t>
      </w:r>
      <w:r>
        <w:rPr>
          <w:rFonts w:asciiTheme="majorBidi" w:hAnsiTheme="majorBidi" w:cstheme="majorBidi"/>
        </w:rPr>
        <w:t xml:space="preserve">another study by </w:t>
      </w:r>
      <w:r>
        <w:rPr>
          <w:rFonts w:asciiTheme="majorBidi" w:hAnsiTheme="majorBidi" w:cstheme="majorBidi"/>
          <w:noProof/>
        </w:rPr>
        <w:t>Lertmaharit et al. (2005)</w:t>
      </w:r>
      <w:r w:rsidRPr="00DF3BCF">
        <w:rPr>
          <w:rFonts w:asciiTheme="majorBidi" w:hAnsiTheme="majorBidi" w:cstheme="majorBidi"/>
        </w:rPr>
        <w:t>. The family and societal aspects in Palestine lead to depression</w:t>
      </w:r>
      <w:r>
        <w:rPr>
          <w:rFonts w:asciiTheme="majorBidi" w:hAnsiTheme="majorBidi" w:cstheme="majorBidi"/>
        </w:rPr>
        <w:t xml:space="preserve"> as a </w:t>
      </w:r>
      <w:r w:rsidRPr="00DF3BCF">
        <w:rPr>
          <w:rFonts w:asciiTheme="majorBidi" w:hAnsiTheme="majorBidi" w:cstheme="majorBidi"/>
        </w:rPr>
        <w:t xml:space="preserve">consequence of </w:t>
      </w:r>
      <w:r w:rsidR="00845F9B" w:rsidRPr="00DF3BCF">
        <w:rPr>
          <w:rFonts w:asciiTheme="majorBidi" w:hAnsiTheme="majorBidi" w:cstheme="majorBidi"/>
        </w:rPr>
        <w:t>diabetes</w:t>
      </w:r>
      <w:r w:rsidR="00845F9B">
        <w:rPr>
          <w:rFonts w:asciiTheme="majorBidi" w:hAnsiTheme="majorBidi" w:cstheme="majorBidi"/>
        </w:rPr>
        <w:t xml:space="preserve">, </w:t>
      </w:r>
      <w:r w:rsidR="00845F9B" w:rsidRPr="00DF3BCF">
        <w:rPr>
          <w:rFonts w:asciiTheme="majorBidi" w:hAnsiTheme="majorBidi" w:cstheme="majorBidi"/>
        </w:rPr>
        <w:t>which</w:t>
      </w:r>
      <w:r w:rsidRPr="00DF3BCF">
        <w:rPr>
          <w:rFonts w:asciiTheme="majorBidi" w:hAnsiTheme="majorBidi" w:cstheme="majorBidi"/>
        </w:rPr>
        <w:t xml:space="preserve"> </w:t>
      </w:r>
      <w:r>
        <w:rPr>
          <w:rFonts w:asciiTheme="majorBidi" w:hAnsiTheme="majorBidi" w:cstheme="majorBidi"/>
        </w:rPr>
        <w:t>might</w:t>
      </w:r>
      <w:r w:rsidRPr="00DF3BCF">
        <w:rPr>
          <w:rFonts w:asciiTheme="majorBidi" w:hAnsiTheme="majorBidi" w:cstheme="majorBidi"/>
        </w:rPr>
        <w:t xml:space="preserve"> extend to female </w:t>
      </w:r>
      <w:r>
        <w:rPr>
          <w:rFonts w:asciiTheme="majorBidi" w:hAnsiTheme="majorBidi" w:cstheme="majorBidi"/>
        </w:rPr>
        <w:t xml:space="preserve">diabetes </w:t>
      </w:r>
      <w:r w:rsidRPr="00DF3BCF">
        <w:rPr>
          <w:rFonts w:asciiTheme="majorBidi" w:hAnsiTheme="majorBidi" w:cstheme="majorBidi"/>
        </w:rPr>
        <w:t>patients</w:t>
      </w:r>
      <w:r>
        <w:rPr>
          <w:rFonts w:asciiTheme="majorBidi" w:hAnsiTheme="majorBidi" w:cstheme="majorBidi"/>
        </w:rPr>
        <w:t xml:space="preserve">, who are more likely to be depressed than males and interfere with medication adherence, which </w:t>
      </w:r>
      <w:r w:rsidRPr="00DF3BCF">
        <w:rPr>
          <w:rFonts w:asciiTheme="majorBidi" w:hAnsiTheme="majorBidi" w:cstheme="majorBidi"/>
        </w:rPr>
        <w:t>perhaps could be improved by the depression treatment</w:t>
      </w:r>
      <w:r>
        <w:rPr>
          <w:rFonts w:asciiTheme="majorBidi" w:hAnsiTheme="majorBidi" w:cstheme="majorBidi"/>
        </w:rPr>
        <w:t xml:space="preserve">. This needs evaluation </w:t>
      </w:r>
      <w:r>
        <w:rPr>
          <w:rFonts w:asciiTheme="majorBidi" w:hAnsiTheme="majorBidi" w:cstheme="majorBidi"/>
          <w:noProof/>
        </w:rPr>
        <w:t>(Kaholokula et al., 2003; Seo and Min, 2005; Voils et al., 2005)</w:t>
      </w:r>
      <w:r>
        <w:rPr>
          <w:rFonts w:asciiTheme="majorBidi" w:hAnsiTheme="majorBidi" w:cstheme="majorBidi"/>
        </w:rPr>
        <w:t>.</w:t>
      </w:r>
    </w:p>
    <w:p w:rsidR="00B31827" w:rsidRPr="006125DD" w:rsidRDefault="00B31827" w:rsidP="008C538B">
      <w:pPr>
        <w:spacing w:after="0" w:line="240" w:lineRule="auto"/>
        <w:ind w:firstLine="0"/>
        <w:rPr>
          <w:rFonts w:asciiTheme="majorBidi" w:hAnsiTheme="majorBidi" w:cstheme="majorBidi"/>
        </w:rPr>
      </w:pPr>
      <w:r w:rsidRPr="006125DD">
        <w:rPr>
          <w:rFonts w:asciiTheme="majorBidi" w:hAnsiTheme="majorBidi" w:cstheme="majorBidi"/>
        </w:rPr>
        <w:t>The educational level and patient–</w:t>
      </w:r>
      <w:r>
        <w:rPr>
          <w:rFonts w:asciiTheme="majorBidi" w:hAnsiTheme="majorBidi" w:cstheme="majorBidi"/>
        </w:rPr>
        <w:t xml:space="preserve">healthcare </w:t>
      </w:r>
      <w:r w:rsidR="00845F9B">
        <w:rPr>
          <w:rFonts w:asciiTheme="majorBidi" w:hAnsiTheme="majorBidi" w:cstheme="majorBidi"/>
        </w:rPr>
        <w:t>professional</w:t>
      </w:r>
      <w:r w:rsidR="00845F9B" w:rsidRPr="006125DD">
        <w:rPr>
          <w:rFonts w:asciiTheme="majorBidi" w:hAnsiTheme="majorBidi" w:cstheme="majorBidi"/>
        </w:rPr>
        <w:t>s’</w:t>
      </w:r>
      <w:r w:rsidRPr="006125DD">
        <w:rPr>
          <w:rFonts w:asciiTheme="majorBidi" w:hAnsiTheme="majorBidi" w:cstheme="majorBidi"/>
        </w:rPr>
        <w:t xml:space="preserve"> relationship were non-significant, but also obvious in a relationship with medication adherence. Medical knowledge might be related to patient educational level. The degree of medication adherence non-significantly increased with an increased educational level. More educated patients tend to be more familiar with the medications and aware of the negative effects from medication non-adherence </w:t>
      </w:r>
      <w:r>
        <w:rPr>
          <w:rFonts w:asciiTheme="majorBidi" w:hAnsiTheme="majorBidi" w:cstheme="majorBidi"/>
          <w:noProof/>
        </w:rPr>
        <w:t>(Sweileh et al., 2005)</w:t>
      </w:r>
      <w:r w:rsidRPr="006125DD">
        <w:rPr>
          <w:rFonts w:asciiTheme="majorBidi" w:hAnsiTheme="majorBidi" w:cstheme="majorBidi"/>
        </w:rPr>
        <w:t xml:space="preserve">. Fostering a healthy relationship by emotional support, respect and giving reassurance while treating patients as equal partners engenders patient trust in healthcare professionals </w:t>
      </w:r>
      <w:r>
        <w:rPr>
          <w:rFonts w:asciiTheme="majorBidi" w:hAnsiTheme="majorBidi" w:cstheme="majorBidi"/>
        </w:rPr>
        <w:t xml:space="preserve">such as physicians </w:t>
      </w:r>
      <w:r w:rsidRPr="006125DD">
        <w:rPr>
          <w:rFonts w:asciiTheme="majorBidi" w:hAnsiTheme="majorBidi" w:cstheme="majorBidi"/>
        </w:rPr>
        <w:t xml:space="preserve">in concert with positive responsiveness from them is positively reflected in medication adherence </w:t>
      </w:r>
      <w:r>
        <w:rPr>
          <w:rFonts w:asciiTheme="majorBidi" w:hAnsiTheme="majorBidi" w:cstheme="majorBidi"/>
          <w:noProof/>
        </w:rPr>
        <w:t>(Lawson et al., 2005)</w:t>
      </w:r>
      <w:r w:rsidRPr="006125DD">
        <w:rPr>
          <w:rFonts w:asciiTheme="majorBidi" w:hAnsiTheme="majorBidi" w:cstheme="majorBidi"/>
        </w:rPr>
        <w:t>. Thus, patients follow-up is needed to encourage them to keep up with the given treatment and advice and ensure that they remember the given information.</w:t>
      </w:r>
    </w:p>
    <w:p w:rsidR="00B31827" w:rsidRDefault="00B31827" w:rsidP="00926873">
      <w:pPr>
        <w:spacing w:after="0" w:line="240" w:lineRule="auto"/>
        <w:ind w:firstLine="0"/>
      </w:pPr>
    </w:p>
    <w:p w:rsidR="00B31827" w:rsidRDefault="00B31827" w:rsidP="00926873">
      <w:pPr>
        <w:spacing w:after="0" w:line="240" w:lineRule="auto"/>
        <w:ind w:right="86" w:firstLine="0"/>
        <w:rPr>
          <w:b/>
          <w:bCs/>
        </w:rPr>
      </w:pPr>
      <w:r w:rsidRPr="006125DD">
        <w:rPr>
          <w:b/>
          <w:bCs/>
        </w:rPr>
        <w:t>CONCLUSIONS</w:t>
      </w:r>
    </w:p>
    <w:p w:rsidR="00B31827" w:rsidRPr="006125DD" w:rsidRDefault="00B31827" w:rsidP="00926873">
      <w:pPr>
        <w:spacing w:after="0" w:line="240" w:lineRule="auto"/>
        <w:ind w:right="86" w:firstLine="0"/>
        <w:rPr>
          <w:b/>
          <w:bCs/>
        </w:rPr>
      </w:pPr>
    </w:p>
    <w:p w:rsidR="00B31827" w:rsidRPr="0006010B" w:rsidRDefault="00B31827" w:rsidP="00926873">
      <w:pPr>
        <w:spacing w:after="0" w:line="240" w:lineRule="auto"/>
        <w:ind w:firstLine="0"/>
        <w:rPr>
          <w:rFonts w:asciiTheme="majorBidi" w:hAnsiTheme="majorBidi" w:cstheme="majorBidi"/>
        </w:rPr>
      </w:pPr>
      <w:r w:rsidRPr="0006010B">
        <w:rPr>
          <w:rFonts w:asciiTheme="majorBidi" w:hAnsiTheme="majorBidi" w:cstheme="majorBidi"/>
        </w:rPr>
        <w:t xml:space="preserve">The </w:t>
      </w:r>
      <w:r w:rsidR="00845F9B" w:rsidRPr="0006010B">
        <w:rPr>
          <w:rFonts w:asciiTheme="majorBidi" w:hAnsiTheme="majorBidi" w:cstheme="majorBidi"/>
        </w:rPr>
        <w:t>patients’</w:t>
      </w:r>
      <w:r w:rsidRPr="0006010B">
        <w:rPr>
          <w:rFonts w:asciiTheme="majorBidi" w:hAnsiTheme="majorBidi" w:cstheme="majorBidi"/>
        </w:rPr>
        <w:t xml:space="preserve"> proportion with medication adherence was high, and the level of medication adherence was appropriate. There was significant difference between medication adherents and non–adherents in gender and diabetes duration. Female participants were less likely to be medication adherent. All healthcare professionals in the health care system might concern the diabetes duration and the depression variance among female and male participants. Particular attention paid to depression could lead to an enhancement in medication adherence.</w:t>
      </w:r>
    </w:p>
    <w:p w:rsidR="00B31827" w:rsidRDefault="00B31827" w:rsidP="00926873">
      <w:pPr>
        <w:spacing w:after="0" w:line="240" w:lineRule="auto"/>
        <w:ind w:firstLine="0"/>
        <w:rPr>
          <w:rFonts w:asciiTheme="majorBidi" w:hAnsiTheme="majorBidi" w:cstheme="majorBidi"/>
        </w:rPr>
      </w:pPr>
    </w:p>
    <w:p w:rsidR="00B31827" w:rsidRPr="000A1C47" w:rsidRDefault="00B31827" w:rsidP="00926873">
      <w:pPr>
        <w:spacing w:after="0" w:line="240" w:lineRule="auto"/>
        <w:ind w:right="86" w:firstLine="0"/>
        <w:rPr>
          <w:b/>
          <w:bCs/>
        </w:rPr>
      </w:pPr>
      <w:r w:rsidRPr="000A1C47">
        <w:rPr>
          <w:b/>
          <w:bCs/>
        </w:rPr>
        <w:t>ACKNOWLEDGEMENTS</w:t>
      </w:r>
    </w:p>
    <w:p w:rsidR="00B31827" w:rsidRPr="0031176F" w:rsidRDefault="00B31827" w:rsidP="00926873">
      <w:pPr>
        <w:spacing w:after="0" w:line="240" w:lineRule="auto"/>
        <w:ind w:firstLine="0"/>
        <w:rPr>
          <w:rFonts w:asciiTheme="majorBidi" w:hAnsiTheme="majorBidi" w:cstheme="majorBidi"/>
          <w:b/>
          <w:bCs/>
        </w:rPr>
      </w:pPr>
    </w:p>
    <w:p w:rsidR="00B31827" w:rsidRPr="001F7FF1" w:rsidRDefault="00B31827" w:rsidP="00926873">
      <w:pPr>
        <w:spacing w:after="0" w:line="240" w:lineRule="auto"/>
        <w:ind w:firstLine="0"/>
        <w:rPr>
          <w:rFonts w:asciiTheme="majorBidi" w:hAnsiTheme="majorBidi" w:cstheme="majorBidi"/>
        </w:rPr>
      </w:pPr>
      <w:r w:rsidRPr="001F7FF1">
        <w:rPr>
          <w:rFonts w:asciiTheme="majorBidi" w:hAnsiTheme="majorBidi" w:cstheme="majorBidi"/>
        </w:rPr>
        <w:t xml:space="preserve">We would like to take this opportunity to express our thanks and gratitude to the </w:t>
      </w:r>
      <w:r w:rsidR="0096171D">
        <w:rPr>
          <w:rFonts w:asciiTheme="majorBidi" w:hAnsiTheme="majorBidi" w:cstheme="majorBidi"/>
        </w:rPr>
        <w:t>faculty of pharmacy</w:t>
      </w:r>
      <w:r w:rsidRPr="001F7FF1">
        <w:rPr>
          <w:rFonts w:asciiTheme="majorBidi" w:hAnsiTheme="majorBidi" w:cstheme="majorBidi"/>
        </w:rPr>
        <w:t xml:space="preserve"> and Research </w:t>
      </w:r>
      <w:r w:rsidR="0096171D">
        <w:rPr>
          <w:rFonts w:asciiTheme="majorBidi" w:hAnsiTheme="majorBidi" w:cstheme="majorBidi"/>
        </w:rPr>
        <w:t>Ethics Committee</w:t>
      </w:r>
      <w:r w:rsidRPr="001F7FF1">
        <w:rPr>
          <w:rFonts w:asciiTheme="majorBidi" w:hAnsiTheme="majorBidi" w:cstheme="majorBidi"/>
        </w:rPr>
        <w:t xml:space="preserve"> (</w:t>
      </w:r>
      <w:r w:rsidR="0096171D">
        <w:rPr>
          <w:rFonts w:asciiTheme="majorBidi" w:hAnsiTheme="majorBidi" w:cstheme="majorBidi"/>
        </w:rPr>
        <w:t>Reference</w:t>
      </w:r>
      <w:r w:rsidRPr="001F7FF1">
        <w:rPr>
          <w:rFonts w:asciiTheme="majorBidi" w:hAnsiTheme="majorBidi" w:cstheme="majorBidi"/>
        </w:rPr>
        <w:t xml:space="preserve"> Code 600–RMI</w:t>
      </w:r>
      <w:r w:rsidR="0096171D">
        <w:rPr>
          <w:rFonts w:asciiTheme="majorBidi" w:hAnsiTheme="majorBidi" w:cstheme="majorBidi"/>
        </w:rPr>
        <w:t xml:space="preserve"> (5/1/6/01)</w:t>
      </w:r>
      <w:r w:rsidRPr="001F7FF1">
        <w:rPr>
          <w:rFonts w:asciiTheme="majorBidi" w:hAnsiTheme="majorBidi" w:cstheme="majorBidi"/>
        </w:rPr>
        <w:t xml:space="preserve">), </w:t>
      </w:r>
      <w:proofErr w:type="spellStart"/>
      <w:r w:rsidRPr="001F7FF1">
        <w:rPr>
          <w:rFonts w:asciiTheme="majorBidi" w:hAnsiTheme="majorBidi" w:cstheme="majorBidi"/>
        </w:rPr>
        <w:t>UiTM</w:t>
      </w:r>
      <w:proofErr w:type="spellEnd"/>
      <w:r w:rsidRPr="001F7FF1">
        <w:rPr>
          <w:rFonts w:asciiTheme="majorBidi" w:hAnsiTheme="majorBidi" w:cstheme="majorBidi"/>
        </w:rPr>
        <w:t xml:space="preserve">, and the Palestinian Ministry of Health </w:t>
      </w:r>
      <w:r w:rsidR="006F17D3">
        <w:rPr>
          <w:rFonts w:asciiTheme="majorBidi" w:hAnsiTheme="majorBidi" w:cstheme="majorBidi"/>
        </w:rPr>
        <w:t xml:space="preserve">(Reference no. 51/111) </w:t>
      </w:r>
      <w:r w:rsidRPr="001F7FF1">
        <w:rPr>
          <w:rFonts w:asciiTheme="majorBidi" w:hAnsiTheme="majorBidi" w:cstheme="majorBidi"/>
        </w:rPr>
        <w:t xml:space="preserve">for all of the facilities and support have been given throughout the period of data collection in the National </w:t>
      </w:r>
      <w:r>
        <w:rPr>
          <w:rFonts w:asciiTheme="majorBidi" w:hAnsiTheme="majorBidi" w:cstheme="majorBidi"/>
        </w:rPr>
        <w:t>Centre</w:t>
      </w:r>
      <w:r w:rsidRPr="001F7FF1">
        <w:rPr>
          <w:rFonts w:asciiTheme="majorBidi" w:hAnsiTheme="majorBidi" w:cstheme="majorBidi"/>
        </w:rPr>
        <w:t xml:space="preserve"> for Chronic Diseases and Dermatology.</w:t>
      </w:r>
    </w:p>
    <w:p w:rsidR="00B31827" w:rsidRDefault="00B31827" w:rsidP="00926873">
      <w:pPr>
        <w:spacing w:after="0" w:line="240" w:lineRule="auto"/>
        <w:ind w:firstLine="0"/>
        <w:rPr>
          <w:rFonts w:asciiTheme="majorBidi" w:hAnsiTheme="majorBidi" w:cstheme="majorBidi"/>
        </w:rPr>
      </w:pPr>
    </w:p>
    <w:p w:rsidR="00B31827" w:rsidRPr="0031176F" w:rsidRDefault="00B31827" w:rsidP="00926873">
      <w:pPr>
        <w:spacing w:after="0" w:line="240" w:lineRule="auto"/>
        <w:ind w:firstLine="0"/>
        <w:rPr>
          <w:rFonts w:asciiTheme="majorBidi" w:hAnsiTheme="majorBidi" w:cstheme="majorBidi"/>
        </w:rPr>
      </w:pPr>
      <w:r w:rsidRPr="0031176F">
        <w:rPr>
          <w:rFonts w:asciiTheme="majorBidi" w:hAnsiTheme="majorBidi" w:cstheme="majorBidi"/>
          <w:b/>
          <w:bCs/>
        </w:rPr>
        <w:t>Conflict of Interests</w:t>
      </w:r>
      <w:r>
        <w:rPr>
          <w:rFonts w:asciiTheme="majorBidi" w:hAnsiTheme="majorBidi" w:cstheme="majorBidi"/>
          <w:b/>
          <w:bCs/>
        </w:rPr>
        <w:t xml:space="preserve">: </w:t>
      </w:r>
      <w:r w:rsidRPr="0031176F">
        <w:rPr>
          <w:rFonts w:asciiTheme="majorBidi" w:hAnsiTheme="majorBidi" w:cstheme="majorBidi"/>
        </w:rPr>
        <w:t>The authors declare that they have no competing interest in this research study.</w:t>
      </w:r>
    </w:p>
    <w:p w:rsidR="00B31827" w:rsidRPr="0031176F" w:rsidRDefault="00B31827" w:rsidP="00926873">
      <w:pPr>
        <w:spacing w:after="0" w:line="240" w:lineRule="auto"/>
        <w:ind w:firstLine="0"/>
        <w:rPr>
          <w:rFonts w:asciiTheme="majorBidi" w:hAnsiTheme="majorBidi" w:cstheme="majorBidi"/>
          <w:b/>
          <w:bCs/>
        </w:rPr>
      </w:pPr>
    </w:p>
    <w:p w:rsidR="00B31827" w:rsidRPr="0031176F" w:rsidRDefault="00B31827" w:rsidP="00926873">
      <w:pPr>
        <w:rPr>
          <w:rFonts w:asciiTheme="majorBidi" w:hAnsiTheme="majorBidi" w:cstheme="majorBidi"/>
        </w:rPr>
      </w:pPr>
      <w:r>
        <w:rPr>
          <w:rFonts w:asciiTheme="majorBidi" w:hAnsiTheme="majorBidi" w:cstheme="majorBidi"/>
        </w:rPr>
        <w:br w:type="page"/>
      </w:r>
    </w:p>
    <w:p w:rsidR="00B31827" w:rsidRDefault="00B31827" w:rsidP="00926873">
      <w:pPr>
        <w:spacing w:after="0" w:line="240" w:lineRule="auto"/>
        <w:ind w:firstLine="0"/>
        <w:rPr>
          <w:rFonts w:asciiTheme="majorBidi" w:hAnsiTheme="majorBidi" w:cstheme="majorBidi"/>
          <w:b/>
          <w:bCs/>
        </w:rPr>
      </w:pPr>
      <w:r w:rsidRPr="0031176F">
        <w:rPr>
          <w:rFonts w:asciiTheme="majorBidi" w:hAnsiTheme="majorBidi" w:cstheme="majorBidi"/>
          <w:b/>
          <w:bCs/>
        </w:rPr>
        <w:lastRenderedPageBreak/>
        <w:t>REFERENCES</w:t>
      </w:r>
    </w:p>
    <w:p w:rsidR="00B31827" w:rsidRDefault="00B31827" w:rsidP="00926873">
      <w:pPr>
        <w:spacing w:after="0" w:line="240" w:lineRule="auto"/>
        <w:ind w:firstLine="0"/>
        <w:rPr>
          <w:rFonts w:asciiTheme="majorBidi" w:hAnsiTheme="majorBidi" w:cstheme="majorBidi"/>
          <w:b/>
          <w:bCs/>
        </w:rPr>
      </w:pPr>
    </w:p>
    <w:p w:rsidR="00441210" w:rsidRPr="00E83E26" w:rsidRDefault="00441210" w:rsidP="00E83E26">
      <w:pPr>
        <w:pStyle w:val="EndNoteBibliography"/>
        <w:spacing w:after="0"/>
        <w:ind w:firstLine="567"/>
        <w:rPr>
          <w:rFonts w:asciiTheme="majorBidi" w:eastAsiaTheme="minorHAnsi" w:hAnsiTheme="majorBidi" w:cstheme="majorBidi"/>
        </w:rPr>
      </w:pPr>
      <w:bookmarkStart w:id="7" w:name="_ENREF_1"/>
      <w:r w:rsidRPr="00E83E26">
        <w:rPr>
          <w:rFonts w:asciiTheme="majorBidi" w:eastAsiaTheme="minorHAnsi" w:hAnsiTheme="majorBidi" w:cstheme="majorBidi"/>
        </w:rPr>
        <w:t>Al-Elq</w:t>
      </w:r>
      <w:r>
        <w:rPr>
          <w:rFonts w:asciiTheme="majorBidi" w:eastAsiaTheme="minorHAnsi" w:hAnsiTheme="majorBidi" w:cstheme="majorBidi"/>
        </w:rPr>
        <w:t xml:space="preserve"> A</w:t>
      </w:r>
      <w:r w:rsidRPr="00E83E26">
        <w:rPr>
          <w:rFonts w:asciiTheme="majorBidi" w:eastAsiaTheme="minorHAnsi" w:hAnsiTheme="majorBidi" w:cstheme="majorBidi"/>
        </w:rPr>
        <w:t>. Current practice in the management of patients with type 2 diabetes mellitus in Saudi Arabia. Saudi Med J, 2009; 30: 1551-1556</w:t>
      </w:r>
      <w:bookmarkEnd w:id="7"/>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8" w:name="_ENREF_2"/>
      <w:r w:rsidRPr="00E83E26">
        <w:rPr>
          <w:rFonts w:asciiTheme="majorBidi" w:eastAsiaTheme="minorHAnsi" w:hAnsiTheme="majorBidi" w:cstheme="majorBidi"/>
        </w:rPr>
        <w:t>Ali MK, Bullard KM, Imperatore G, Barker L, Gregg EW. Characteristics associated with poor glycemic control among adults with self-reported diagnosed diabetes — National Health and Nutrition Examination Survey, United States, 2007–2010. CDC, 2012; 61: 32-37</w:t>
      </w:r>
      <w:bookmarkEnd w:id="8"/>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9" w:name="_ENREF_16"/>
      <w:r w:rsidRPr="00E83E26">
        <w:rPr>
          <w:rFonts w:asciiTheme="majorBidi" w:eastAsiaTheme="minorHAnsi" w:hAnsiTheme="majorBidi" w:cstheme="majorBidi"/>
        </w:rPr>
        <w:t>Ali</w:t>
      </w:r>
      <w:r>
        <w:rPr>
          <w:rFonts w:asciiTheme="majorBidi" w:eastAsiaTheme="minorHAnsi" w:hAnsiTheme="majorBidi" w:cstheme="majorBidi"/>
        </w:rPr>
        <w:t xml:space="preserve"> SM</w:t>
      </w:r>
      <w:r w:rsidRPr="00E83E26">
        <w:rPr>
          <w:rFonts w:asciiTheme="majorBidi" w:eastAsiaTheme="minorHAnsi" w:hAnsiTheme="majorBidi" w:cstheme="majorBidi"/>
        </w:rPr>
        <w:t>. (2006). Type 2 diabetes in Malaysia: perspectives of Malay patients and their health care professionals. (Unpublished PhD thesis), The University of Nottingham, United Kingdom.</w:t>
      </w:r>
      <w:bookmarkEnd w:id="9"/>
    </w:p>
    <w:p w:rsidR="00441210" w:rsidRPr="00E83E26" w:rsidRDefault="00441210" w:rsidP="00E83E26">
      <w:pPr>
        <w:pStyle w:val="EndNoteBibliography"/>
        <w:spacing w:after="0"/>
        <w:ind w:firstLine="567"/>
        <w:rPr>
          <w:rFonts w:asciiTheme="majorBidi" w:eastAsiaTheme="minorHAnsi" w:hAnsiTheme="majorBidi" w:cstheme="majorBidi"/>
        </w:rPr>
      </w:pPr>
      <w:bookmarkStart w:id="10" w:name="_ENREF_4"/>
      <w:r w:rsidRPr="00E83E26">
        <w:rPr>
          <w:rFonts w:asciiTheme="majorBidi" w:eastAsiaTheme="minorHAnsi" w:hAnsiTheme="majorBidi" w:cstheme="majorBidi"/>
        </w:rPr>
        <w:t>Ashur ST, Shah SA, Bosseri S, Fah TS, Shamsuddin K. Glycemic control status among type 2 diabetic patients and the role of their diabetes coping behaviours: a clinic-based study in Tripoli</w:t>
      </w:r>
      <w:r>
        <w:rPr>
          <w:rFonts w:asciiTheme="majorBidi" w:eastAsiaTheme="minorHAnsi" w:hAnsiTheme="majorBidi" w:cstheme="majorBidi"/>
        </w:rPr>
        <w:t>, Libya. Libyan J Med, 2016; 11</w:t>
      </w:r>
      <w:bookmarkEnd w:id="10"/>
      <w:r>
        <w:rPr>
          <w:rFonts w:asciiTheme="majorBidi" w:eastAsiaTheme="minorHAnsi" w:hAnsiTheme="majorBidi" w:cstheme="majorBidi"/>
        </w:rPr>
        <w:t>: 1-9.</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1" w:name="_ENREF_5"/>
      <w:r w:rsidRPr="00E83E26">
        <w:rPr>
          <w:rFonts w:asciiTheme="majorBidi" w:eastAsiaTheme="minorHAnsi" w:hAnsiTheme="majorBidi" w:cstheme="majorBidi"/>
        </w:rPr>
        <w:t>Brown AF, Ettner SL, Piette J, Weinberger M, Gregg E, et al. Socioeconomic position and health among persons with diabetes mellitus: a conceptual framework and review of the literature. Epidemiol Rev, 2004; 26: 63-77</w:t>
      </w:r>
      <w:bookmarkEnd w:id="11"/>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2" w:name="_ENREF_6"/>
      <w:r w:rsidRPr="00E83E26">
        <w:rPr>
          <w:rFonts w:asciiTheme="majorBidi" w:eastAsiaTheme="minorHAnsi" w:hAnsiTheme="majorBidi" w:cstheme="majorBidi"/>
        </w:rPr>
        <w:t xml:space="preserve">Daoud N, Osman A, Hartc TA, Berry EM, Adler B. Self-care management among patients with type 2 diabetes in East Jerusalem. Health Educ J, 2014; </w:t>
      </w:r>
      <w:bookmarkEnd w:id="12"/>
      <w:r>
        <w:rPr>
          <w:rFonts w:asciiTheme="majorBidi" w:eastAsiaTheme="minorHAnsi" w:hAnsiTheme="majorBidi" w:cstheme="majorBidi"/>
        </w:rPr>
        <w:t>74: 603-615.</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3" w:name="_ENREF_7"/>
      <w:r w:rsidRPr="00E83E26">
        <w:rPr>
          <w:rFonts w:asciiTheme="majorBidi" w:eastAsiaTheme="minorHAnsi" w:hAnsiTheme="majorBidi" w:cstheme="majorBidi"/>
        </w:rPr>
        <w:t>Fitzgerald J, Anderson R, Davis W. Gender differences in diabetes attitudes and adherence. Diabetes Educ, 1995; 21: 523-529</w:t>
      </w:r>
      <w:bookmarkEnd w:id="13"/>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4" w:name="_ENREF_8"/>
      <w:r w:rsidRPr="00E83E26">
        <w:rPr>
          <w:rFonts w:asciiTheme="majorBidi" w:eastAsiaTheme="minorHAnsi" w:hAnsiTheme="majorBidi" w:cstheme="majorBidi"/>
        </w:rPr>
        <w:t>Gazmararian JA, Ziemer DC, Barnes C. Perception of barriers to self-care management among diabetic patients. Diabetes Educ, 2009; 35: 778-788</w:t>
      </w:r>
      <w:bookmarkEnd w:id="14"/>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5" w:name="_ENREF_9"/>
      <w:r w:rsidRPr="00E83E26">
        <w:rPr>
          <w:rFonts w:asciiTheme="majorBidi" w:eastAsiaTheme="minorHAnsi" w:hAnsiTheme="majorBidi" w:cstheme="majorBidi"/>
        </w:rPr>
        <w:t>Jamous RM, Sweileh WM, Abu Taha AS, Sawalha AF, Zyoud SH, et al. Adherence and satisfaction with oral hypoglycemic medications: a pilot study in Palestine. Int J Clin Pharm, 2011; 33: 1028-1035</w:t>
      </w:r>
      <w:bookmarkEnd w:id="15"/>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6" w:name="_ENREF_10"/>
      <w:r w:rsidRPr="00E83E26">
        <w:rPr>
          <w:rFonts w:asciiTheme="majorBidi" w:eastAsiaTheme="minorHAnsi" w:hAnsiTheme="majorBidi" w:cstheme="majorBidi"/>
        </w:rPr>
        <w:t>Kaholokula JK, Haynes SN, Grandinetti A, Chang HK. Biological, psychosocial, and sociodemographic variables associated with depressive symptoms in persons with type 2 diabetes. J Behav Med, 2003; 26: 435-458</w:t>
      </w:r>
      <w:bookmarkEnd w:id="16"/>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7" w:name="_ENREF_11"/>
      <w:r w:rsidRPr="00E83E26">
        <w:rPr>
          <w:rFonts w:asciiTheme="majorBidi" w:eastAsiaTheme="minorHAnsi" w:hAnsiTheme="majorBidi" w:cstheme="majorBidi"/>
        </w:rPr>
        <w:t>Khattab MS, Abolfotouh MA, Khan MY, Humaidi MA, Al-Kaldi YM. Compliance and control of diabetes in a family practice setting, Saudi Arabia. East Mediterr Health J, 1999; 5: 755-765</w:t>
      </w:r>
      <w:bookmarkEnd w:id="17"/>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8" w:name="_ENREF_12"/>
      <w:r w:rsidRPr="00E83E26">
        <w:rPr>
          <w:rFonts w:asciiTheme="majorBidi" w:eastAsiaTheme="minorHAnsi" w:hAnsiTheme="majorBidi" w:cstheme="majorBidi"/>
        </w:rPr>
        <w:t>Lawson VL, Lyne PA, Harvey JN, Bundy CE. Understanding why people with type 1 diabetes do not attend for specialist advice: a qualitative analysis of the views of people with insulin-dependent diabetes who do not attend diabetes clinic. J Health Psychol, 2005; 10: 409-423</w:t>
      </w:r>
      <w:bookmarkEnd w:id="18"/>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19" w:name="_ENREF_13"/>
      <w:r w:rsidRPr="00E83E26">
        <w:rPr>
          <w:rFonts w:asciiTheme="majorBidi" w:eastAsiaTheme="minorHAnsi" w:hAnsiTheme="majorBidi" w:cstheme="majorBidi"/>
        </w:rPr>
        <w:t>Lertmaharit S, Kamol–Ratankul P, Sawert H, Jittimanee S, Wangmanee S. Factors associated with compliance among tuberculosis patients in Thailand. J Med Assoc Thai, 2005; 88 Suppl 4: S149–S156</w:t>
      </w:r>
      <w:bookmarkEnd w:id="19"/>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0" w:name="_ENREF_3"/>
      <w:r w:rsidRPr="00E83E26">
        <w:rPr>
          <w:rFonts w:asciiTheme="majorBidi" w:eastAsiaTheme="minorHAnsi" w:hAnsiTheme="majorBidi" w:cstheme="majorBidi"/>
        </w:rPr>
        <w:t>Mosadeghrad</w:t>
      </w:r>
      <w:r>
        <w:rPr>
          <w:rFonts w:asciiTheme="majorBidi" w:eastAsiaTheme="minorHAnsi" w:hAnsiTheme="majorBidi" w:cstheme="majorBidi"/>
        </w:rPr>
        <w:t xml:space="preserve"> A</w:t>
      </w:r>
      <w:r w:rsidRPr="00E83E26">
        <w:rPr>
          <w:rFonts w:asciiTheme="majorBidi" w:eastAsiaTheme="minorHAnsi" w:hAnsiTheme="majorBidi" w:cstheme="majorBidi"/>
        </w:rPr>
        <w:t>. Factors influencing healthcare service quality. Int J Health Policy Manag, 2014; 3: 77–89</w:t>
      </w:r>
      <w:bookmarkEnd w:id="20"/>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1" w:name="_ENREF_17"/>
      <w:r w:rsidRPr="00E83E26">
        <w:rPr>
          <w:rFonts w:asciiTheme="majorBidi" w:eastAsiaTheme="minorHAnsi" w:hAnsiTheme="majorBidi" w:cstheme="majorBidi"/>
        </w:rPr>
        <w:t>Senior V, Marteau TM, Weinman J. Self-reported adherence to cholesterol-lowering medication in patients with familial hypercholesterolemia: the role of illness perceptions. Cardiovasc Drugs Ther, 2004; 18: 475-481</w:t>
      </w:r>
      <w:bookmarkEnd w:id="21"/>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2" w:name="_ENREF_14"/>
      <w:r w:rsidRPr="00E83E26">
        <w:rPr>
          <w:rFonts w:asciiTheme="majorBidi" w:eastAsiaTheme="minorHAnsi" w:hAnsiTheme="majorBidi" w:cstheme="majorBidi"/>
        </w:rPr>
        <w:t>Seo</w:t>
      </w:r>
      <w:r>
        <w:rPr>
          <w:rFonts w:asciiTheme="majorBidi" w:eastAsiaTheme="minorHAnsi" w:hAnsiTheme="majorBidi" w:cstheme="majorBidi"/>
        </w:rPr>
        <w:t xml:space="preserve"> M</w:t>
      </w:r>
      <w:r w:rsidRPr="00E83E26">
        <w:rPr>
          <w:rFonts w:asciiTheme="majorBidi" w:eastAsiaTheme="minorHAnsi" w:hAnsiTheme="majorBidi" w:cstheme="majorBidi"/>
        </w:rPr>
        <w:t>, Min</w:t>
      </w:r>
      <w:r>
        <w:rPr>
          <w:rFonts w:asciiTheme="majorBidi" w:eastAsiaTheme="minorHAnsi" w:hAnsiTheme="majorBidi" w:cstheme="majorBidi"/>
        </w:rPr>
        <w:t xml:space="preserve"> SK</w:t>
      </w:r>
      <w:r w:rsidRPr="00E83E26">
        <w:rPr>
          <w:rFonts w:asciiTheme="majorBidi" w:eastAsiaTheme="minorHAnsi" w:hAnsiTheme="majorBidi" w:cstheme="majorBidi"/>
        </w:rPr>
        <w:t>. Development of a structural model explaining medication compliance of persons with schizophrenia. Yonsei Med J, 2005; 46: 331–340</w:t>
      </w:r>
      <w:bookmarkEnd w:id="22"/>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3" w:name="_ENREF_15"/>
      <w:r w:rsidRPr="00E83E26">
        <w:rPr>
          <w:rFonts w:asciiTheme="majorBidi" w:eastAsiaTheme="minorHAnsi" w:hAnsiTheme="majorBidi" w:cstheme="majorBidi"/>
        </w:rPr>
        <w:t>Shams</w:t>
      </w:r>
      <w:r>
        <w:rPr>
          <w:rFonts w:asciiTheme="majorBidi" w:eastAsiaTheme="minorHAnsi" w:hAnsiTheme="majorBidi" w:cstheme="majorBidi"/>
        </w:rPr>
        <w:t xml:space="preserve"> M</w:t>
      </w:r>
      <w:r w:rsidRPr="00E83E26">
        <w:rPr>
          <w:rFonts w:asciiTheme="majorBidi" w:eastAsiaTheme="minorHAnsi" w:hAnsiTheme="majorBidi" w:cstheme="majorBidi"/>
        </w:rPr>
        <w:t>, Barakat</w:t>
      </w:r>
      <w:r>
        <w:rPr>
          <w:rFonts w:asciiTheme="majorBidi" w:eastAsiaTheme="minorHAnsi" w:hAnsiTheme="majorBidi" w:cstheme="majorBidi"/>
        </w:rPr>
        <w:t xml:space="preserve"> E</w:t>
      </w:r>
      <w:r w:rsidRPr="00E83E26">
        <w:rPr>
          <w:rFonts w:asciiTheme="majorBidi" w:eastAsiaTheme="minorHAnsi" w:hAnsiTheme="majorBidi" w:cstheme="majorBidi"/>
        </w:rPr>
        <w:t>. Measuring the rate of therapeutic adherence among outpatients with T2DM in Egypt. Saudi Pharm J, 2010; 18: 225–232</w:t>
      </w:r>
      <w:bookmarkEnd w:id="23"/>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4" w:name="_ENREF_18"/>
      <w:r w:rsidRPr="00E83E26">
        <w:rPr>
          <w:rFonts w:asciiTheme="majorBidi" w:eastAsiaTheme="minorHAnsi" w:hAnsiTheme="majorBidi" w:cstheme="majorBidi"/>
        </w:rPr>
        <w:t>Sweileh W, Aker O, Hamooz S. Effect of “polypharmacy” and “frequency of drug dosing” on rate of compliance among diabetic and hypertensive patients: a survey study in palestine. An-Najah University Journal for Research - Natural Sciences, 2003; 17: 155-165</w:t>
      </w:r>
      <w:bookmarkEnd w:id="24"/>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5" w:name="_ENREF_19"/>
      <w:r w:rsidRPr="00E83E26">
        <w:rPr>
          <w:rFonts w:asciiTheme="majorBidi" w:eastAsiaTheme="minorHAnsi" w:hAnsiTheme="majorBidi" w:cstheme="majorBidi"/>
        </w:rPr>
        <w:lastRenderedPageBreak/>
        <w:t>Sweileh W, Aker O, Hamooz S. Rate of compliance among patients with diabetes mellitus and hypertension. An-Najah University Journal for Research - Natural Sciences, 2005; 19: 1-12</w:t>
      </w:r>
      <w:bookmarkEnd w:id="25"/>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6" w:name="_ENREF_20"/>
      <w:r w:rsidRPr="00E83E26">
        <w:rPr>
          <w:rFonts w:asciiTheme="majorBidi" w:eastAsiaTheme="minorHAnsi" w:hAnsiTheme="majorBidi" w:cstheme="majorBidi"/>
        </w:rPr>
        <w:t>Sweileh W, Zyoud SH, Nab’a RJA, Deleq MI, Enaia MI, et al. Influence of patients’ disease knowledge and beliefs about medicines on medication adherence: findings from a cross–sectional survey among patients with type 2 diabetes mellitus in Palestine. BMC Public Health, 2014; 14: 1–8</w:t>
      </w:r>
      <w:bookmarkEnd w:id="26"/>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7" w:name="_ENREF_21"/>
      <w:r w:rsidRPr="00E83E26">
        <w:rPr>
          <w:rFonts w:asciiTheme="majorBidi" w:eastAsiaTheme="minorHAnsi" w:hAnsiTheme="majorBidi" w:cstheme="majorBidi"/>
        </w:rPr>
        <w:t>Sweileh WM, Ihbesheh MS, Jarar IS, Sawalha AF, Abu Taha AS, et al. Differences in medication adherence, satisfaction and clinical symptoms in schizophrenic outpatients taking different antipsychotic regimens. Curr Drug Saf, 2011; 6: 285-290</w:t>
      </w:r>
      <w:bookmarkEnd w:id="27"/>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8" w:name="_ENREF_22"/>
      <w:r w:rsidRPr="00E83E26">
        <w:rPr>
          <w:rFonts w:asciiTheme="majorBidi" w:eastAsiaTheme="minorHAnsi" w:hAnsiTheme="majorBidi" w:cstheme="majorBidi"/>
        </w:rPr>
        <w:t>Sweileh WM, Zyoud SeH, Abu Nab’a RJ, Deleq MI, Enaia MI, et al. Influence of patients’ disease knowledge and beliefs about medicines on medication adherence: findings from a cross-sectional survey among patients with type 2 diabetes mellitus in Palestine. BMC Public Health, 2014; 14: 1-8</w:t>
      </w:r>
      <w:bookmarkEnd w:id="28"/>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29" w:name="_ENREF_23"/>
      <w:r w:rsidRPr="00E83E26">
        <w:rPr>
          <w:rFonts w:asciiTheme="majorBidi" w:eastAsiaTheme="minorHAnsi" w:hAnsiTheme="majorBidi" w:cstheme="majorBidi"/>
        </w:rPr>
        <w:t>Voils CI, Steffens DC, Flint EP, Bosworth HB. Social support and locus of control as predictors of adherence to antidepressant medication in an elderly population. Am J Geriatr Psychiatry, 2005; 13: 157-165</w:t>
      </w:r>
      <w:bookmarkEnd w:id="29"/>
      <w:r>
        <w:rPr>
          <w:rFonts w:asciiTheme="majorBidi" w:eastAsiaTheme="minorHAnsi" w:hAnsiTheme="majorBidi" w:cstheme="majorBidi"/>
        </w:rPr>
        <w:t>.</w:t>
      </w:r>
    </w:p>
    <w:p w:rsidR="00441210" w:rsidRPr="00E83E26" w:rsidRDefault="00441210" w:rsidP="00E83E26">
      <w:pPr>
        <w:pStyle w:val="EndNoteBibliography"/>
        <w:spacing w:after="0"/>
        <w:ind w:firstLine="567"/>
        <w:rPr>
          <w:rFonts w:asciiTheme="majorBidi" w:eastAsiaTheme="minorHAnsi" w:hAnsiTheme="majorBidi" w:cstheme="majorBidi"/>
        </w:rPr>
      </w:pPr>
      <w:bookmarkStart w:id="30" w:name="_ENREF_24"/>
      <w:r w:rsidRPr="00E83E26">
        <w:rPr>
          <w:rFonts w:asciiTheme="majorBidi" w:eastAsiaTheme="minorHAnsi" w:hAnsiTheme="majorBidi" w:cstheme="majorBidi"/>
        </w:rPr>
        <w:t xml:space="preserve">Zyoud SH, Al-Jabi SW, Sweileh WM, Morisky DE. Relationship of treatment satisfaction to medication adherence: findings from a cross-sectional survey among hypertensive patients in Palestine. Health Qual Life Outcomes, 2013; 11: </w:t>
      </w:r>
      <w:bookmarkEnd w:id="30"/>
      <w:r>
        <w:rPr>
          <w:rFonts w:asciiTheme="majorBidi" w:eastAsiaTheme="minorHAnsi" w:hAnsiTheme="majorBidi" w:cstheme="majorBidi"/>
        </w:rPr>
        <w:t>191-197.</w:t>
      </w:r>
    </w:p>
    <w:sectPr w:rsidR="00441210" w:rsidRPr="00E83E26" w:rsidSect="006F4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82B"/>
    <w:multiLevelType w:val="multilevel"/>
    <w:tmpl w:val="0D4445F0"/>
    <w:lvl w:ilvl="0">
      <w:start w:val="1"/>
      <w:numFmt w:val="decimal"/>
      <w:pStyle w:val="Heading1"/>
      <w:suff w:val="space"/>
      <w:lvlText w:val="Chapter %1"/>
      <w:lvlJc w:val="left"/>
      <w:pPr>
        <w:ind w:left="0" w:firstLine="0"/>
      </w:pPr>
      <w:rPr>
        <w:color w:val="FFFFFF" w:themeColor="background1"/>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56C205A0"/>
    <w:multiLevelType w:val="multilevel"/>
    <w:tmpl w:val="CE4E088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4.%2.%3.%4"/>
      <w:lvlJc w:val="left"/>
      <w:pPr>
        <w:ind w:left="864" w:hanging="864"/>
      </w:pPr>
      <w:rPr>
        <w:rFonts w:hint="default"/>
      </w:rPr>
    </w:lvl>
    <w:lvl w:ilvl="4">
      <w:start w:val="1"/>
      <w:numFmt w:val="decimal"/>
      <w:lvlText w:val="4.%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1827"/>
    <w:rsid w:val="00045BDA"/>
    <w:rsid w:val="0006010B"/>
    <w:rsid w:val="001C5982"/>
    <w:rsid w:val="001F5CEE"/>
    <w:rsid w:val="002118C5"/>
    <w:rsid w:val="002971C5"/>
    <w:rsid w:val="00303888"/>
    <w:rsid w:val="00396162"/>
    <w:rsid w:val="003A087C"/>
    <w:rsid w:val="003F0531"/>
    <w:rsid w:val="00425FF6"/>
    <w:rsid w:val="00441210"/>
    <w:rsid w:val="004F23B4"/>
    <w:rsid w:val="00601AB1"/>
    <w:rsid w:val="006F17D3"/>
    <w:rsid w:val="00720946"/>
    <w:rsid w:val="007640C6"/>
    <w:rsid w:val="007859C1"/>
    <w:rsid w:val="007961E3"/>
    <w:rsid w:val="007B1F03"/>
    <w:rsid w:val="007E0D91"/>
    <w:rsid w:val="00807010"/>
    <w:rsid w:val="00845F9B"/>
    <w:rsid w:val="008C538B"/>
    <w:rsid w:val="00916BC2"/>
    <w:rsid w:val="0096171D"/>
    <w:rsid w:val="009D5C90"/>
    <w:rsid w:val="00A7537F"/>
    <w:rsid w:val="00B31827"/>
    <w:rsid w:val="00B8077E"/>
    <w:rsid w:val="00B81841"/>
    <w:rsid w:val="00B9031B"/>
    <w:rsid w:val="00BE3E76"/>
    <w:rsid w:val="00C12A05"/>
    <w:rsid w:val="00D00025"/>
    <w:rsid w:val="00D26476"/>
    <w:rsid w:val="00E66477"/>
    <w:rsid w:val="00E83E26"/>
    <w:rsid w:val="00F51FE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27"/>
    <w:pPr>
      <w:spacing w:after="300" w:line="360" w:lineRule="auto"/>
      <w:ind w:firstLine="576"/>
      <w:jc w:val="both"/>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B31827"/>
    <w:pPr>
      <w:numPr>
        <w:numId w:val="1"/>
      </w:numPr>
      <w:jc w:val="center"/>
      <w:outlineLvl w:val="0"/>
    </w:pPr>
    <w:rPr>
      <w:rFonts w:asciiTheme="majorBidi" w:hAnsiTheme="majorBidi" w:cstheme="majorBidi"/>
      <w:b/>
      <w:bCs/>
      <w:sz w:val="28"/>
      <w:szCs w:val="28"/>
    </w:rPr>
  </w:style>
  <w:style w:type="paragraph" w:styleId="Heading2">
    <w:name w:val="heading 2"/>
    <w:basedOn w:val="ListParagraph"/>
    <w:next w:val="Normal"/>
    <w:link w:val="Heading2Char"/>
    <w:qFormat/>
    <w:rsid w:val="00B31827"/>
    <w:pPr>
      <w:numPr>
        <w:ilvl w:val="1"/>
        <w:numId w:val="1"/>
      </w:numPr>
      <w:spacing w:before="400"/>
      <w:contextualSpacing w:val="0"/>
      <w:outlineLvl w:val="1"/>
    </w:pPr>
    <w:rPr>
      <w:rFonts w:cstheme="majorBidi"/>
      <w:b/>
      <w:bCs/>
    </w:rPr>
  </w:style>
  <w:style w:type="paragraph" w:styleId="Heading3">
    <w:name w:val="heading 3"/>
    <w:basedOn w:val="ListParagraph"/>
    <w:next w:val="Normal"/>
    <w:link w:val="Heading3Char"/>
    <w:qFormat/>
    <w:rsid w:val="00B31827"/>
    <w:pPr>
      <w:numPr>
        <w:ilvl w:val="2"/>
        <w:numId w:val="1"/>
      </w:numPr>
      <w:spacing w:before="400"/>
      <w:outlineLvl w:val="2"/>
    </w:pPr>
    <w:rPr>
      <w:rFonts w:asciiTheme="majorBidi" w:hAnsiTheme="majorBidi" w:cstheme="majorBidi"/>
      <w:b/>
      <w:bCs/>
    </w:rPr>
  </w:style>
  <w:style w:type="paragraph" w:styleId="Heading4">
    <w:name w:val="heading 4"/>
    <w:basedOn w:val="Normal"/>
    <w:next w:val="Normal"/>
    <w:link w:val="Heading4Char"/>
    <w:qFormat/>
    <w:rsid w:val="00B31827"/>
    <w:pPr>
      <w:numPr>
        <w:ilvl w:val="3"/>
        <w:numId w:val="1"/>
      </w:numPr>
      <w:spacing w:before="400"/>
      <w:outlineLvl w:val="3"/>
    </w:pPr>
    <w:rPr>
      <w:b/>
      <w:bCs/>
    </w:rPr>
  </w:style>
  <w:style w:type="paragraph" w:styleId="Heading5">
    <w:name w:val="heading 5"/>
    <w:basedOn w:val="Normal"/>
    <w:next w:val="Normal"/>
    <w:link w:val="Heading5Char"/>
    <w:uiPriority w:val="9"/>
    <w:unhideWhenUsed/>
    <w:qFormat/>
    <w:rsid w:val="00B31827"/>
    <w:pPr>
      <w:numPr>
        <w:ilvl w:val="4"/>
        <w:numId w:val="1"/>
      </w:numPr>
      <w:spacing w:line="480" w:lineRule="auto"/>
      <w:outlineLvl w:val="4"/>
    </w:pPr>
    <w:rPr>
      <w:b/>
      <w:bCs/>
    </w:rPr>
  </w:style>
  <w:style w:type="paragraph" w:styleId="Heading6">
    <w:name w:val="heading 6"/>
    <w:basedOn w:val="Normal"/>
    <w:next w:val="Normal"/>
    <w:link w:val="Heading6Char"/>
    <w:uiPriority w:val="9"/>
    <w:unhideWhenUsed/>
    <w:qFormat/>
    <w:rsid w:val="00B31827"/>
    <w:pPr>
      <w:numPr>
        <w:ilvl w:val="5"/>
        <w:numId w:val="1"/>
      </w:numPr>
      <w:spacing w:line="480" w:lineRule="auto"/>
      <w:outlineLvl w:val="5"/>
    </w:pPr>
    <w:rPr>
      <w:rFonts w:asciiTheme="majorBidi" w:hAnsiTheme="majorBidi" w:cstheme="majorBidi"/>
      <w:b/>
      <w:bCs/>
    </w:rPr>
  </w:style>
  <w:style w:type="paragraph" w:styleId="Heading7">
    <w:name w:val="heading 7"/>
    <w:basedOn w:val="Normal"/>
    <w:next w:val="Normal"/>
    <w:link w:val="Heading7Char"/>
    <w:uiPriority w:val="9"/>
    <w:unhideWhenUsed/>
    <w:qFormat/>
    <w:rsid w:val="00B3182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3182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182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27"/>
    <w:rPr>
      <w:rFonts w:asciiTheme="majorBidi" w:eastAsia="Calibri" w:hAnsiTheme="majorBidi" w:cstheme="majorBidi"/>
      <w:b/>
      <w:bCs/>
      <w:sz w:val="28"/>
      <w:szCs w:val="28"/>
      <w:lang w:val="en-US"/>
    </w:rPr>
  </w:style>
  <w:style w:type="character" w:customStyle="1" w:styleId="Heading2Char">
    <w:name w:val="Heading 2 Char"/>
    <w:basedOn w:val="DefaultParagraphFont"/>
    <w:link w:val="Heading2"/>
    <w:rsid w:val="00B31827"/>
    <w:rPr>
      <w:rFonts w:ascii="Times New Roman" w:eastAsia="Calibri" w:hAnsi="Times New Roman" w:cstheme="majorBidi"/>
      <w:b/>
      <w:bCs/>
      <w:sz w:val="24"/>
      <w:szCs w:val="24"/>
      <w:lang w:val="en-US"/>
    </w:rPr>
  </w:style>
  <w:style w:type="character" w:customStyle="1" w:styleId="Heading3Char">
    <w:name w:val="Heading 3 Char"/>
    <w:basedOn w:val="DefaultParagraphFont"/>
    <w:link w:val="Heading3"/>
    <w:rsid w:val="00B31827"/>
    <w:rPr>
      <w:rFonts w:asciiTheme="majorBidi" w:eastAsia="Calibri" w:hAnsiTheme="majorBidi" w:cstheme="majorBidi"/>
      <w:b/>
      <w:bCs/>
      <w:sz w:val="24"/>
      <w:szCs w:val="24"/>
      <w:lang w:val="en-US"/>
    </w:rPr>
  </w:style>
  <w:style w:type="character" w:customStyle="1" w:styleId="Heading4Char">
    <w:name w:val="Heading 4 Char"/>
    <w:basedOn w:val="DefaultParagraphFont"/>
    <w:link w:val="Heading4"/>
    <w:rsid w:val="00B31827"/>
    <w:rPr>
      <w:rFonts w:ascii="Times New Roman" w:eastAsia="Calibri" w:hAnsi="Times New Roman" w:cs="Times New Roman"/>
      <w:b/>
      <w:bCs/>
      <w:sz w:val="24"/>
      <w:szCs w:val="24"/>
      <w:lang w:val="en-US"/>
    </w:rPr>
  </w:style>
  <w:style w:type="character" w:customStyle="1" w:styleId="Heading5Char">
    <w:name w:val="Heading 5 Char"/>
    <w:basedOn w:val="DefaultParagraphFont"/>
    <w:link w:val="Heading5"/>
    <w:uiPriority w:val="9"/>
    <w:rsid w:val="00B31827"/>
    <w:rPr>
      <w:rFonts w:ascii="Times New Roman" w:eastAsia="Calibri" w:hAnsi="Times New Roman" w:cs="Times New Roman"/>
      <w:b/>
      <w:bCs/>
      <w:sz w:val="24"/>
      <w:szCs w:val="24"/>
      <w:lang w:val="en-US"/>
    </w:rPr>
  </w:style>
  <w:style w:type="character" w:customStyle="1" w:styleId="Heading6Char">
    <w:name w:val="Heading 6 Char"/>
    <w:basedOn w:val="DefaultParagraphFont"/>
    <w:link w:val="Heading6"/>
    <w:uiPriority w:val="9"/>
    <w:rsid w:val="00B31827"/>
    <w:rPr>
      <w:rFonts w:asciiTheme="majorBidi" w:eastAsia="Calibri" w:hAnsiTheme="majorBidi" w:cstheme="majorBidi"/>
      <w:b/>
      <w:bCs/>
      <w:sz w:val="24"/>
      <w:szCs w:val="24"/>
      <w:lang w:val="en-US"/>
    </w:rPr>
  </w:style>
  <w:style w:type="character" w:customStyle="1" w:styleId="Heading7Char">
    <w:name w:val="Heading 7 Char"/>
    <w:basedOn w:val="DefaultParagraphFont"/>
    <w:link w:val="Heading7"/>
    <w:uiPriority w:val="9"/>
    <w:rsid w:val="00B31827"/>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B3182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31827"/>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unhideWhenUsed/>
    <w:qFormat/>
    <w:rsid w:val="00B31827"/>
    <w:pPr>
      <w:spacing w:after="200" w:line="240" w:lineRule="auto"/>
    </w:pPr>
    <w:rPr>
      <w:b/>
      <w:bCs/>
      <w:color w:val="4F81BD" w:themeColor="accent1"/>
      <w:sz w:val="18"/>
      <w:szCs w:val="18"/>
    </w:rPr>
  </w:style>
  <w:style w:type="paragraph" w:styleId="ListParagraph">
    <w:name w:val="List Paragraph"/>
    <w:basedOn w:val="Normal"/>
    <w:uiPriority w:val="34"/>
    <w:qFormat/>
    <w:rsid w:val="00B31827"/>
    <w:pPr>
      <w:ind w:left="720"/>
      <w:contextualSpacing/>
    </w:pPr>
  </w:style>
  <w:style w:type="paragraph" w:customStyle="1" w:styleId="EndNoteBibliographyTitle">
    <w:name w:val="EndNote Bibliography Title"/>
    <w:basedOn w:val="Normal"/>
    <w:link w:val="EndNoteBibliographyTitleChar"/>
    <w:rsid w:val="00B31827"/>
    <w:pPr>
      <w:spacing w:after="0"/>
      <w:jc w:val="center"/>
    </w:pPr>
    <w:rPr>
      <w:noProof/>
    </w:rPr>
  </w:style>
  <w:style w:type="character" w:customStyle="1" w:styleId="EndNoteBibliographyTitleChar">
    <w:name w:val="EndNote Bibliography Title Char"/>
    <w:basedOn w:val="DefaultParagraphFont"/>
    <w:link w:val="EndNoteBibliographyTitle"/>
    <w:rsid w:val="00B31827"/>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B31827"/>
    <w:pPr>
      <w:spacing w:line="240" w:lineRule="auto"/>
    </w:pPr>
    <w:rPr>
      <w:noProof/>
    </w:rPr>
  </w:style>
  <w:style w:type="character" w:customStyle="1" w:styleId="EndNoteBibliographyChar">
    <w:name w:val="EndNote Bibliography Char"/>
    <w:basedOn w:val="DefaultParagraphFont"/>
    <w:link w:val="EndNoteBibliography"/>
    <w:rsid w:val="00B31827"/>
    <w:rPr>
      <w:rFonts w:ascii="Times New Roman" w:eastAsia="Calibri" w:hAnsi="Times New Roman" w:cs="Times New Roman"/>
      <w:noProof/>
      <w:sz w:val="24"/>
      <w:szCs w:val="24"/>
      <w:lang w:val="en-US"/>
    </w:rPr>
  </w:style>
  <w:style w:type="character" w:styleId="Hyperlink">
    <w:name w:val="Hyperlink"/>
    <w:basedOn w:val="DefaultParagraphFont"/>
    <w:uiPriority w:val="99"/>
    <w:unhideWhenUsed/>
    <w:rsid w:val="00B31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27"/>
    <w:pPr>
      <w:spacing w:after="300" w:line="360" w:lineRule="auto"/>
      <w:ind w:firstLine="576"/>
      <w:jc w:val="both"/>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B31827"/>
    <w:pPr>
      <w:numPr>
        <w:numId w:val="1"/>
      </w:numPr>
      <w:jc w:val="center"/>
      <w:outlineLvl w:val="0"/>
    </w:pPr>
    <w:rPr>
      <w:rFonts w:asciiTheme="majorBidi" w:hAnsiTheme="majorBidi" w:cstheme="majorBidi"/>
      <w:b/>
      <w:bCs/>
      <w:sz w:val="28"/>
      <w:szCs w:val="28"/>
    </w:rPr>
  </w:style>
  <w:style w:type="paragraph" w:styleId="Heading2">
    <w:name w:val="heading 2"/>
    <w:basedOn w:val="ListParagraph"/>
    <w:next w:val="Normal"/>
    <w:link w:val="Heading2Char"/>
    <w:qFormat/>
    <w:rsid w:val="00B31827"/>
    <w:pPr>
      <w:numPr>
        <w:ilvl w:val="1"/>
        <w:numId w:val="1"/>
      </w:numPr>
      <w:spacing w:before="400"/>
      <w:contextualSpacing w:val="0"/>
      <w:outlineLvl w:val="1"/>
    </w:pPr>
    <w:rPr>
      <w:rFonts w:cstheme="majorBidi"/>
      <w:b/>
      <w:bCs/>
    </w:rPr>
  </w:style>
  <w:style w:type="paragraph" w:styleId="Heading3">
    <w:name w:val="heading 3"/>
    <w:basedOn w:val="ListParagraph"/>
    <w:next w:val="Normal"/>
    <w:link w:val="Heading3Char"/>
    <w:qFormat/>
    <w:rsid w:val="00B31827"/>
    <w:pPr>
      <w:numPr>
        <w:ilvl w:val="2"/>
        <w:numId w:val="1"/>
      </w:numPr>
      <w:spacing w:before="400"/>
      <w:outlineLvl w:val="2"/>
    </w:pPr>
    <w:rPr>
      <w:rFonts w:asciiTheme="majorBidi" w:hAnsiTheme="majorBidi" w:cstheme="majorBidi"/>
      <w:b/>
      <w:bCs/>
    </w:rPr>
  </w:style>
  <w:style w:type="paragraph" w:styleId="Heading4">
    <w:name w:val="heading 4"/>
    <w:basedOn w:val="Normal"/>
    <w:next w:val="Normal"/>
    <w:link w:val="Heading4Char"/>
    <w:qFormat/>
    <w:rsid w:val="00B31827"/>
    <w:pPr>
      <w:numPr>
        <w:ilvl w:val="3"/>
        <w:numId w:val="1"/>
      </w:numPr>
      <w:spacing w:before="400"/>
      <w:outlineLvl w:val="3"/>
    </w:pPr>
    <w:rPr>
      <w:b/>
      <w:bCs/>
    </w:rPr>
  </w:style>
  <w:style w:type="paragraph" w:styleId="Heading5">
    <w:name w:val="heading 5"/>
    <w:basedOn w:val="Normal"/>
    <w:next w:val="Normal"/>
    <w:link w:val="Heading5Char"/>
    <w:uiPriority w:val="9"/>
    <w:unhideWhenUsed/>
    <w:qFormat/>
    <w:rsid w:val="00B31827"/>
    <w:pPr>
      <w:numPr>
        <w:ilvl w:val="4"/>
        <w:numId w:val="1"/>
      </w:numPr>
      <w:spacing w:line="480" w:lineRule="auto"/>
      <w:outlineLvl w:val="4"/>
    </w:pPr>
    <w:rPr>
      <w:b/>
      <w:bCs/>
    </w:rPr>
  </w:style>
  <w:style w:type="paragraph" w:styleId="Heading6">
    <w:name w:val="heading 6"/>
    <w:basedOn w:val="Normal"/>
    <w:next w:val="Normal"/>
    <w:link w:val="Heading6Char"/>
    <w:uiPriority w:val="9"/>
    <w:unhideWhenUsed/>
    <w:qFormat/>
    <w:rsid w:val="00B31827"/>
    <w:pPr>
      <w:numPr>
        <w:ilvl w:val="5"/>
        <w:numId w:val="1"/>
      </w:numPr>
      <w:spacing w:line="480" w:lineRule="auto"/>
      <w:outlineLvl w:val="5"/>
    </w:pPr>
    <w:rPr>
      <w:rFonts w:asciiTheme="majorBidi" w:hAnsiTheme="majorBidi" w:cstheme="majorBidi"/>
      <w:b/>
      <w:bCs/>
    </w:rPr>
  </w:style>
  <w:style w:type="paragraph" w:styleId="Heading7">
    <w:name w:val="heading 7"/>
    <w:basedOn w:val="Normal"/>
    <w:next w:val="Normal"/>
    <w:link w:val="Heading7Char"/>
    <w:uiPriority w:val="9"/>
    <w:unhideWhenUsed/>
    <w:qFormat/>
    <w:rsid w:val="00B3182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3182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182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27"/>
    <w:rPr>
      <w:rFonts w:asciiTheme="majorBidi" w:eastAsia="Calibri" w:hAnsiTheme="majorBidi" w:cstheme="majorBidi"/>
      <w:b/>
      <w:bCs/>
      <w:sz w:val="28"/>
      <w:szCs w:val="28"/>
      <w:lang w:val="en-US"/>
    </w:rPr>
  </w:style>
  <w:style w:type="character" w:customStyle="1" w:styleId="Heading2Char">
    <w:name w:val="Heading 2 Char"/>
    <w:basedOn w:val="DefaultParagraphFont"/>
    <w:link w:val="Heading2"/>
    <w:rsid w:val="00B31827"/>
    <w:rPr>
      <w:rFonts w:ascii="Times New Roman" w:eastAsia="Calibri" w:hAnsi="Times New Roman" w:cstheme="majorBidi"/>
      <w:b/>
      <w:bCs/>
      <w:sz w:val="24"/>
      <w:szCs w:val="24"/>
      <w:lang w:val="en-US"/>
    </w:rPr>
  </w:style>
  <w:style w:type="character" w:customStyle="1" w:styleId="Heading3Char">
    <w:name w:val="Heading 3 Char"/>
    <w:basedOn w:val="DefaultParagraphFont"/>
    <w:link w:val="Heading3"/>
    <w:rsid w:val="00B31827"/>
    <w:rPr>
      <w:rFonts w:asciiTheme="majorBidi" w:eastAsia="Calibri" w:hAnsiTheme="majorBidi" w:cstheme="majorBidi"/>
      <w:b/>
      <w:bCs/>
      <w:sz w:val="24"/>
      <w:szCs w:val="24"/>
      <w:lang w:val="en-US"/>
    </w:rPr>
  </w:style>
  <w:style w:type="character" w:customStyle="1" w:styleId="Heading4Char">
    <w:name w:val="Heading 4 Char"/>
    <w:basedOn w:val="DefaultParagraphFont"/>
    <w:link w:val="Heading4"/>
    <w:rsid w:val="00B31827"/>
    <w:rPr>
      <w:rFonts w:ascii="Times New Roman" w:eastAsia="Calibri" w:hAnsi="Times New Roman" w:cs="Times New Roman"/>
      <w:b/>
      <w:bCs/>
      <w:sz w:val="24"/>
      <w:szCs w:val="24"/>
      <w:lang w:val="en-US"/>
    </w:rPr>
  </w:style>
  <w:style w:type="character" w:customStyle="1" w:styleId="Heading5Char">
    <w:name w:val="Heading 5 Char"/>
    <w:basedOn w:val="DefaultParagraphFont"/>
    <w:link w:val="Heading5"/>
    <w:uiPriority w:val="9"/>
    <w:rsid w:val="00B31827"/>
    <w:rPr>
      <w:rFonts w:ascii="Times New Roman" w:eastAsia="Calibri" w:hAnsi="Times New Roman" w:cs="Times New Roman"/>
      <w:b/>
      <w:bCs/>
      <w:sz w:val="24"/>
      <w:szCs w:val="24"/>
      <w:lang w:val="en-US"/>
    </w:rPr>
  </w:style>
  <w:style w:type="character" w:customStyle="1" w:styleId="Heading6Char">
    <w:name w:val="Heading 6 Char"/>
    <w:basedOn w:val="DefaultParagraphFont"/>
    <w:link w:val="Heading6"/>
    <w:uiPriority w:val="9"/>
    <w:rsid w:val="00B31827"/>
    <w:rPr>
      <w:rFonts w:asciiTheme="majorBidi" w:eastAsia="Calibri" w:hAnsiTheme="majorBidi" w:cstheme="majorBidi"/>
      <w:b/>
      <w:bCs/>
      <w:sz w:val="24"/>
      <w:szCs w:val="24"/>
      <w:lang w:val="en-US"/>
    </w:rPr>
  </w:style>
  <w:style w:type="character" w:customStyle="1" w:styleId="Heading7Char">
    <w:name w:val="Heading 7 Char"/>
    <w:basedOn w:val="DefaultParagraphFont"/>
    <w:link w:val="Heading7"/>
    <w:uiPriority w:val="9"/>
    <w:rsid w:val="00B31827"/>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B3182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31827"/>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unhideWhenUsed/>
    <w:qFormat/>
    <w:rsid w:val="00B31827"/>
    <w:pPr>
      <w:spacing w:after="200" w:line="240" w:lineRule="auto"/>
    </w:pPr>
    <w:rPr>
      <w:b/>
      <w:bCs/>
      <w:color w:val="4F81BD" w:themeColor="accent1"/>
      <w:sz w:val="18"/>
      <w:szCs w:val="18"/>
    </w:rPr>
  </w:style>
  <w:style w:type="paragraph" w:styleId="ListParagraph">
    <w:name w:val="List Paragraph"/>
    <w:basedOn w:val="Normal"/>
    <w:uiPriority w:val="34"/>
    <w:qFormat/>
    <w:rsid w:val="00B31827"/>
    <w:pPr>
      <w:ind w:left="720"/>
      <w:contextualSpacing/>
    </w:pPr>
  </w:style>
  <w:style w:type="paragraph" w:customStyle="1" w:styleId="EndNoteBibliographyTitle">
    <w:name w:val="EndNote Bibliography Title"/>
    <w:basedOn w:val="Normal"/>
    <w:link w:val="EndNoteBibliographyTitleChar"/>
    <w:rsid w:val="00B31827"/>
    <w:pPr>
      <w:spacing w:after="0"/>
      <w:jc w:val="center"/>
    </w:pPr>
    <w:rPr>
      <w:noProof/>
    </w:rPr>
  </w:style>
  <w:style w:type="character" w:customStyle="1" w:styleId="EndNoteBibliographyTitleChar">
    <w:name w:val="EndNote Bibliography Title Char"/>
    <w:basedOn w:val="DefaultParagraphFont"/>
    <w:link w:val="EndNoteBibliographyTitle"/>
    <w:rsid w:val="00B31827"/>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B31827"/>
    <w:pPr>
      <w:spacing w:line="240" w:lineRule="auto"/>
    </w:pPr>
    <w:rPr>
      <w:noProof/>
    </w:rPr>
  </w:style>
  <w:style w:type="character" w:customStyle="1" w:styleId="EndNoteBibliographyChar">
    <w:name w:val="EndNote Bibliography Char"/>
    <w:basedOn w:val="DefaultParagraphFont"/>
    <w:link w:val="EndNoteBibliography"/>
    <w:rsid w:val="00B31827"/>
    <w:rPr>
      <w:rFonts w:ascii="Times New Roman" w:eastAsia="Calibri" w:hAnsi="Times New Roman" w:cs="Times New Roman"/>
      <w:noProof/>
      <w:sz w:val="24"/>
      <w:szCs w:val="24"/>
      <w:lang w:val="en-US"/>
    </w:rPr>
  </w:style>
  <w:style w:type="character" w:styleId="Hyperlink">
    <w:name w:val="Hyperlink"/>
    <w:basedOn w:val="DefaultParagraphFont"/>
    <w:uiPriority w:val="99"/>
    <w:unhideWhenUsed/>
    <w:rsid w:val="00B31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UiTM PA4</dc:creator>
  <cp:lastModifiedBy>Dr.Rami</cp:lastModifiedBy>
  <cp:revision>2</cp:revision>
  <dcterms:created xsi:type="dcterms:W3CDTF">2020-06-19T22:37:00Z</dcterms:created>
  <dcterms:modified xsi:type="dcterms:W3CDTF">2020-06-19T22:37:00Z</dcterms:modified>
</cp:coreProperties>
</file>