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8B" w:rsidRPr="004718E3" w:rsidRDefault="00507EB4" w:rsidP="000D2DF0">
      <w:pPr>
        <w:shd w:val="clear" w:color="auto" w:fill="D5DCE4" w:themeFill="text2" w:themeFillTint="33"/>
        <w:spacing w:before="120" w:after="120" w:line="360" w:lineRule="auto"/>
        <w:jc w:val="both"/>
        <w:rPr>
          <w:rFonts w:cstheme="minorHAnsi"/>
          <w:b/>
          <w:bCs/>
          <w:caps/>
          <w:color w:val="2F5496" w:themeColor="accent1" w:themeShade="BF"/>
          <w:sz w:val="24"/>
          <w:szCs w:val="24"/>
          <w:lang w:bidi="ar-JO"/>
        </w:rPr>
      </w:pPr>
      <w:r w:rsidRPr="004718E3">
        <w:rPr>
          <w:rFonts w:cstheme="minorHAnsi"/>
          <w:b/>
          <w:bCs/>
          <w:caps/>
          <w:color w:val="2F5496" w:themeColor="accent1" w:themeShade="BF"/>
          <w:sz w:val="24"/>
          <w:szCs w:val="24"/>
          <w:lang w:bidi="ar-JO"/>
        </w:rPr>
        <w:t>Paper</w:t>
      </w:r>
      <w:r w:rsidR="009B0AB7" w:rsidRPr="004718E3">
        <w:rPr>
          <w:rFonts w:cstheme="minorHAnsi"/>
          <w:b/>
          <w:bCs/>
          <w:caps/>
          <w:color w:val="2F5496" w:themeColor="accent1" w:themeShade="BF"/>
          <w:sz w:val="24"/>
          <w:szCs w:val="24"/>
          <w:lang w:bidi="ar-JO"/>
        </w:rPr>
        <w:t>/ PRESENTATION TITLE</w:t>
      </w:r>
      <w:r w:rsidR="008C688D" w:rsidRPr="004718E3">
        <w:rPr>
          <w:rFonts w:cstheme="minorHAnsi"/>
          <w:b/>
          <w:bCs/>
          <w:caps/>
          <w:color w:val="2F5496" w:themeColor="accent1" w:themeShade="BF"/>
          <w:sz w:val="24"/>
          <w:szCs w:val="24"/>
          <w:lang w:bidi="ar-JO"/>
        </w:rPr>
        <w:t>:</w:t>
      </w:r>
      <w:r w:rsidR="009E4FCD" w:rsidRPr="004718E3">
        <w:rPr>
          <w:rFonts w:cstheme="minorHAnsi"/>
          <w:b/>
          <w:bCs/>
          <w:caps/>
          <w:color w:val="2F5496" w:themeColor="accent1" w:themeShade="BF"/>
          <w:sz w:val="24"/>
          <w:szCs w:val="24"/>
          <w:lang w:bidi="ar-JO"/>
        </w:rPr>
        <w:t xml:space="preserve"> An Analysis of the Importance of the Public Participation in the Planning Process from the Perspective of the Candidates of the West Bank municipal elections 2017</w:t>
      </w:r>
    </w:p>
    <w:p w:rsidR="00D26049" w:rsidRPr="004718E3" w:rsidRDefault="007F71F0" w:rsidP="000D2DF0">
      <w:pPr>
        <w:spacing w:before="120" w:after="120" w:line="360" w:lineRule="auto"/>
        <w:ind w:firstLine="360"/>
        <w:jc w:val="both"/>
        <w:rPr>
          <w:rFonts w:cstheme="minorHAnsi"/>
          <w:b/>
          <w:bCs/>
          <w:caps/>
          <w:color w:val="2F5496" w:themeColor="accent1" w:themeShade="BF"/>
          <w:sz w:val="24"/>
          <w:szCs w:val="24"/>
          <w:lang w:bidi="ar-JO"/>
        </w:rPr>
      </w:pPr>
      <w:r w:rsidRPr="004718E3">
        <w:rPr>
          <w:rFonts w:cstheme="minorHAnsi"/>
          <w:b/>
          <w:bCs/>
          <w:caps/>
          <w:color w:val="2F5496" w:themeColor="accent1" w:themeShade="BF"/>
          <w:sz w:val="24"/>
          <w:szCs w:val="24"/>
          <w:lang w:bidi="ar-JO"/>
        </w:rPr>
        <w:t>dr. emad dawwas</w:t>
      </w:r>
    </w:p>
    <w:p w:rsidR="007F71F0" w:rsidRPr="004718E3" w:rsidRDefault="007F71F0" w:rsidP="000D2DF0">
      <w:pPr>
        <w:spacing w:before="120" w:after="120" w:line="360" w:lineRule="auto"/>
        <w:rPr>
          <w:i/>
          <w:iCs/>
          <w:sz w:val="24"/>
          <w:szCs w:val="24"/>
        </w:rPr>
      </w:pPr>
      <w:r w:rsidRPr="004718E3">
        <w:rPr>
          <w:i/>
          <w:iCs/>
          <w:sz w:val="24"/>
          <w:szCs w:val="24"/>
        </w:rPr>
        <w:t xml:space="preserve">Key Words: public participation, community involvement, municipal election, election campaigns </w:t>
      </w:r>
    </w:p>
    <w:p w:rsidR="004718E3" w:rsidRPr="004718E3" w:rsidRDefault="004718E3" w:rsidP="000D2DF0">
      <w:pPr>
        <w:spacing w:before="120" w:after="120" w:line="360" w:lineRule="auto"/>
        <w:rPr>
          <w:b/>
          <w:bCs/>
          <w:sz w:val="24"/>
          <w:szCs w:val="24"/>
        </w:rPr>
      </w:pPr>
      <w:r w:rsidRPr="004718E3">
        <w:rPr>
          <w:b/>
          <w:bCs/>
          <w:sz w:val="24"/>
          <w:szCs w:val="24"/>
        </w:rPr>
        <w:t>1. Introduction</w:t>
      </w:r>
    </w:p>
    <w:p w:rsidR="009569E9" w:rsidRPr="004718E3" w:rsidRDefault="00D41EF0" w:rsidP="000D2DF0">
      <w:pPr>
        <w:spacing w:before="120" w:after="120" w:line="360" w:lineRule="auto"/>
        <w:rPr>
          <w:sz w:val="24"/>
          <w:szCs w:val="24"/>
        </w:rPr>
      </w:pPr>
      <w:r w:rsidRPr="004718E3">
        <w:rPr>
          <w:sz w:val="24"/>
          <w:szCs w:val="24"/>
        </w:rPr>
        <w:t>Public Participation</w:t>
      </w:r>
      <w:r w:rsidR="009569E9" w:rsidRPr="004718E3">
        <w:rPr>
          <w:sz w:val="24"/>
          <w:szCs w:val="24"/>
        </w:rPr>
        <w:t xml:space="preserve"> in the planning process is among the main pillars of the modern urban planning. General public, civil society organizations and citizens</w:t>
      </w:r>
      <w:r w:rsidR="001D5723" w:rsidRPr="004718E3">
        <w:rPr>
          <w:sz w:val="24"/>
          <w:szCs w:val="24"/>
        </w:rPr>
        <w:t>—</w:t>
      </w:r>
      <w:r w:rsidR="009569E9" w:rsidRPr="004718E3">
        <w:rPr>
          <w:sz w:val="24"/>
          <w:szCs w:val="24"/>
        </w:rPr>
        <w:t>as</w:t>
      </w:r>
      <w:r w:rsidR="001D5723" w:rsidRPr="004718E3">
        <w:rPr>
          <w:sz w:val="24"/>
          <w:szCs w:val="24"/>
        </w:rPr>
        <w:t xml:space="preserve"> </w:t>
      </w:r>
      <w:r w:rsidR="009569E9" w:rsidRPr="004718E3">
        <w:rPr>
          <w:sz w:val="24"/>
          <w:szCs w:val="24"/>
        </w:rPr>
        <w:t>individuals and groups</w:t>
      </w:r>
      <w:r w:rsidR="001D5723" w:rsidRPr="004718E3">
        <w:rPr>
          <w:sz w:val="24"/>
          <w:szCs w:val="24"/>
        </w:rPr>
        <w:t>—</w:t>
      </w:r>
      <w:r w:rsidRPr="004718E3">
        <w:rPr>
          <w:sz w:val="24"/>
          <w:szCs w:val="24"/>
        </w:rPr>
        <w:t>have</w:t>
      </w:r>
      <w:r w:rsidR="001D5723" w:rsidRPr="004718E3">
        <w:rPr>
          <w:sz w:val="24"/>
          <w:szCs w:val="24"/>
        </w:rPr>
        <w:t xml:space="preserve"> </w:t>
      </w:r>
      <w:r w:rsidR="009569E9" w:rsidRPr="004718E3">
        <w:rPr>
          <w:sz w:val="24"/>
          <w:szCs w:val="24"/>
        </w:rPr>
        <w:t xml:space="preserve">an essential role in preparing physical and development plans for their communities. The level of public </w:t>
      </w:r>
      <w:r w:rsidR="007A1973" w:rsidRPr="004718E3">
        <w:rPr>
          <w:sz w:val="24"/>
          <w:szCs w:val="24"/>
        </w:rPr>
        <w:t xml:space="preserve">participation </w:t>
      </w:r>
      <w:r w:rsidR="009569E9" w:rsidRPr="004718E3">
        <w:rPr>
          <w:sz w:val="24"/>
          <w:szCs w:val="24"/>
        </w:rPr>
        <w:t xml:space="preserve">in the planning process depends </w:t>
      </w:r>
      <w:r w:rsidRPr="004718E3">
        <w:rPr>
          <w:sz w:val="24"/>
          <w:szCs w:val="24"/>
        </w:rPr>
        <w:t xml:space="preserve">highly </w:t>
      </w:r>
      <w:r w:rsidR="009569E9" w:rsidRPr="004718E3">
        <w:rPr>
          <w:sz w:val="24"/>
          <w:szCs w:val="24"/>
        </w:rPr>
        <w:t xml:space="preserve">on the political and administrative system in the country. The decision makers’ well, therefore, to involve the community in the planning decision making is important to achieve effective and real involvement. </w:t>
      </w:r>
    </w:p>
    <w:p w:rsidR="00001996" w:rsidRDefault="00865756" w:rsidP="002D100F">
      <w:pPr>
        <w:spacing w:before="120" w:after="120" w:line="360" w:lineRule="auto"/>
        <w:rPr>
          <w:sz w:val="24"/>
          <w:szCs w:val="24"/>
        </w:rPr>
      </w:pPr>
      <w:r w:rsidRPr="004718E3">
        <w:rPr>
          <w:sz w:val="24"/>
          <w:szCs w:val="24"/>
        </w:rPr>
        <w:t>Local municipal and village councils play an essential role in the development process in Palestine</w:t>
      </w:r>
      <w:r w:rsidR="00555A55" w:rsidRPr="004718E3">
        <w:rPr>
          <w:sz w:val="24"/>
          <w:szCs w:val="24"/>
        </w:rPr>
        <w:t xml:space="preserve">. The </w:t>
      </w:r>
      <w:r w:rsidR="00791CBB" w:rsidRPr="004718E3">
        <w:rPr>
          <w:sz w:val="24"/>
          <w:szCs w:val="24"/>
        </w:rPr>
        <w:t>members</w:t>
      </w:r>
      <w:r w:rsidR="00555A55" w:rsidRPr="004718E3">
        <w:rPr>
          <w:sz w:val="24"/>
          <w:szCs w:val="24"/>
        </w:rPr>
        <w:t xml:space="preserve"> of these councils </w:t>
      </w:r>
      <w:r w:rsidR="00791CBB" w:rsidRPr="004718E3">
        <w:rPr>
          <w:sz w:val="24"/>
          <w:szCs w:val="24"/>
        </w:rPr>
        <w:t xml:space="preserve">(the local leaders) </w:t>
      </w:r>
      <w:r w:rsidR="00555A55" w:rsidRPr="004718E3">
        <w:rPr>
          <w:sz w:val="24"/>
          <w:szCs w:val="24"/>
        </w:rPr>
        <w:t>are, from one side, responsible for applying</w:t>
      </w:r>
      <w:r w:rsidRPr="004718E3">
        <w:rPr>
          <w:sz w:val="24"/>
          <w:szCs w:val="24"/>
        </w:rPr>
        <w:t xml:space="preserve"> t</w:t>
      </w:r>
      <w:r w:rsidR="00555A55" w:rsidRPr="004718E3">
        <w:rPr>
          <w:sz w:val="24"/>
          <w:szCs w:val="24"/>
        </w:rPr>
        <w:t xml:space="preserve">he national policies, and they are committed to achieve their citizens’ interests, from the other side. </w:t>
      </w:r>
      <w:r w:rsidR="004718E3" w:rsidRPr="004718E3">
        <w:rPr>
          <w:sz w:val="24"/>
          <w:szCs w:val="24"/>
        </w:rPr>
        <w:t xml:space="preserve">One important commitment towards their citizens is to involve them in the decision making process, especially those decisions affecting the quality of life of the citizens. </w:t>
      </w:r>
      <w:r w:rsidR="009569E9" w:rsidRPr="004718E3">
        <w:rPr>
          <w:sz w:val="24"/>
          <w:szCs w:val="24"/>
        </w:rPr>
        <w:t xml:space="preserve">This </w:t>
      </w:r>
      <w:r w:rsidR="00E43214" w:rsidRPr="004718E3">
        <w:rPr>
          <w:sz w:val="24"/>
          <w:szCs w:val="24"/>
        </w:rPr>
        <w:t>research</w:t>
      </w:r>
      <w:r w:rsidR="009569E9" w:rsidRPr="004718E3">
        <w:rPr>
          <w:sz w:val="24"/>
          <w:szCs w:val="24"/>
        </w:rPr>
        <w:t xml:space="preserve"> aims to investigate the community involvement in the planning and decision making process at the local level as a priority to municipal election candidates</w:t>
      </w:r>
      <w:r w:rsidR="002D100F">
        <w:rPr>
          <w:sz w:val="24"/>
          <w:szCs w:val="24"/>
        </w:rPr>
        <w:t xml:space="preserve">. </w:t>
      </w:r>
      <w:r w:rsidR="009569E9" w:rsidRPr="004718E3">
        <w:rPr>
          <w:sz w:val="24"/>
          <w:szCs w:val="24"/>
        </w:rPr>
        <w:t xml:space="preserve"> </w:t>
      </w:r>
      <w:r w:rsidR="00001996" w:rsidRPr="004718E3">
        <w:rPr>
          <w:sz w:val="24"/>
          <w:szCs w:val="24"/>
        </w:rPr>
        <w:t xml:space="preserve">The study focuses on two aspects of the community involvement: (1) the community as an actor in the planning and decision making process; and (2) the community as a monitor on the municipality performance. </w:t>
      </w:r>
    </w:p>
    <w:p w:rsidR="000D2DF0" w:rsidRDefault="000D2DF0" w:rsidP="000D2DF0">
      <w:pPr>
        <w:spacing w:before="120" w:after="120" w:line="360" w:lineRule="auto"/>
        <w:rPr>
          <w:sz w:val="24"/>
          <w:szCs w:val="24"/>
        </w:rPr>
      </w:pPr>
    </w:p>
    <w:p w:rsidR="000D2DF0" w:rsidRDefault="000D2DF0" w:rsidP="000D2DF0">
      <w:pPr>
        <w:spacing w:before="120" w:after="120" w:line="360" w:lineRule="auto"/>
        <w:rPr>
          <w:sz w:val="24"/>
          <w:szCs w:val="24"/>
        </w:rPr>
      </w:pPr>
    </w:p>
    <w:p w:rsidR="000D2DF0" w:rsidRPr="004718E3" w:rsidRDefault="000D2DF0" w:rsidP="000D2DF0">
      <w:pPr>
        <w:spacing w:before="120" w:after="120" w:line="360" w:lineRule="auto"/>
        <w:rPr>
          <w:sz w:val="24"/>
          <w:szCs w:val="24"/>
        </w:rPr>
      </w:pPr>
    </w:p>
    <w:p w:rsidR="000D2DF0" w:rsidRDefault="004718E3" w:rsidP="000D2DF0">
      <w:pPr>
        <w:spacing w:before="120" w:after="120" w:line="360" w:lineRule="auto"/>
        <w:rPr>
          <w:b/>
          <w:bCs/>
          <w:sz w:val="24"/>
          <w:szCs w:val="24"/>
        </w:rPr>
      </w:pPr>
      <w:r w:rsidRPr="004718E3">
        <w:rPr>
          <w:b/>
          <w:bCs/>
          <w:sz w:val="24"/>
          <w:szCs w:val="24"/>
        </w:rPr>
        <w:lastRenderedPageBreak/>
        <w:t xml:space="preserve">2. Methodology </w:t>
      </w:r>
    </w:p>
    <w:p w:rsidR="009569E9" w:rsidRPr="000D2DF0" w:rsidRDefault="004718E3" w:rsidP="002D100F">
      <w:pPr>
        <w:spacing w:before="120" w:after="120" w:line="360" w:lineRule="auto"/>
        <w:rPr>
          <w:b/>
          <w:bCs/>
          <w:sz w:val="24"/>
          <w:szCs w:val="24"/>
        </w:rPr>
      </w:pPr>
      <w:r>
        <w:rPr>
          <w:sz w:val="24"/>
          <w:szCs w:val="24"/>
        </w:rPr>
        <w:t xml:space="preserve">The </w:t>
      </w:r>
      <w:r w:rsidR="009569E9" w:rsidRPr="004718E3">
        <w:rPr>
          <w:sz w:val="24"/>
          <w:szCs w:val="24"/>
        </w:rPr>
        <w:t xml:space="preserve">ultimate goal </w:t>
      </w:r>
      <w:r>
        <w:rPr>
          <w:sz w:val="24"/>
          <w:szCs w:val="24"/>
        </w:rPr>
        <w:t xml:space="preserve">of the study </w:t>
      </w:r>
      <w:r w:rsidR="002D100F">
        <w:rPr>
          <w:sz w:val="24"/>
          <w:szCs w:val="24"/>
        </w:rPr>
        <w:t xml:space="preserve">is </w:t>
      </w:r>
      <w:r w:rsidR="009569E9" w:rsidRPr="004718E3">
        <w:rPr>
          <w:sz w:val="24"/>
          <w:szCs w:val="24"/>
        </w:rPr>
        <w:t>achieved by analyzing the municipal election campaigns for 47</w:t>
      </w:r>
      <w:r w:rsidR="00D41EF0" w:rsidRPr="004718E3">
        <w:rPr>
          <w:sz w:val="24"/>
          <w:szCs w:val="24"/>
        </w:rPr>
        <w:t>5 election</w:t>
      </w:r>
      <w:r w:rsidR="009569E9" w:rsidRPr="004718E3">
        <w:rPr>
          <w:sz w:val="24"/>
          <w:szCs w:val="24"/>
        </w:rPr>
        <w:t xml:space="preserve"> lists </w:t>
      </w:r>
      <w:r w:rsidR="00D41EF0" w:rsidRPr="004718E3">
        <w:rPr>
          <w:sz w:val="24"/>
          <w:szCs w:val="24"/>
        </w:rPr>
        <w:t>in</w:t>
      </w:r>
      <w:r w:rsidR="009569E9" w:rsidRPr="004718E3">
        <w:rPr>
          <w:sz w:val="24"/>
          <w:szCs w:val="24"/>
        </w:rPr>
        <w:t xml:space="preserve"> </w:t>
      </w:r>
      <w:r w:rsidR="000209C1">
        <w:rPr>
          <w:sz w:val="24"/>
          <w:szCs w:val="24"/>
        </w:rPr>
        <w:t xml:space="preserve">the </w:t>
      </w:r>
      <w:r w:rsidR="009569E9" w:rsidRPr="004718E3">
        <w:rPr>
          <w:sz w:val="24"/>
          <w:szCs w:val="24"/>
        </w:rPr>
        <w:t xml:space="preserve">municipal elections </w:t>
      </w:r>
      <w:r w:rsidR="000209C1">
        <w:rPr>
          <w:sz w:val="24"/>
          <w:szCs w:val="24"/>
        </w:rPr>
        <w:t>hold in</w:t>
      </w:r>
      <w:r w:rsidR="009569E9" w:rsidRPr="004718E3">
        <w:rPr>
          <w:sz w:val="24"/>
          <w:szCs w:val="24"/>
        </w:rPr>
        <w:t xml:space="preserve"> the West Bank</w:t>
      </w:r>
      <w:r w:rsidR="004908E5">
        <w:rPr>
          <w:sz w:val="24"/>
          <w:szCs w:val="24"/>
        </w:rPr>
        <w:t xml:space="preserve"> </w:t>
      </w:r>
      <w:r w:rsidR="000209C1">
        <w:rPr>
          <w:sz w:val="24"/>
          <w:szCs w:val="24"/>
        </w:rPr>
        <w:t xml:space="preserve">in 2017 </w:t>
      </w:r>
      <w:r w:rsidR="004908E5">
        <w:rPr>
          <w:sz w:val="24"/>
          <w:szCs w:val="24"/>
        </w:rPr>
        <w:t>as listed in Table 1 below</w:t>
      </w:r>
      <w:r w:rsidR="009569E9" w:rsidRPr="004718E3">
        <w:rPr>
          <w:sz w:val="24"/>
          <w:szCs w:val="24"/>
        </w:rPr>
        <w:t xml:space="preserve">. </w:t>
      </w:r>
    </w:p>
    <w:tbl>
      <w:tblPr>
        <w:tblStyle w:val="TableGrid"/>
        <w:tblW w:w="0" w:type="auto"/>
        <w:tblLook w:val="04A0" w:firstRow="1" w:lastRow="0" w:firstColumn="1" w:lastColumn="0" w:noHBand="0" w:noVBand="1"/>
      </w:tblPr>
      <w:tblGrid>
        <w:gridCol w:w="2430"/>
        <w:gridCol w:w="2700"/>
        <w:gridCol w:w="2070"/>
      </w:tblGrid>
      <w:tr w:rsidR="0067370D" w:rsidRPr="000D2DF0" w:rsidTr="0067370D">
        <w:tc>
          <w:tcPr>
            <w:tcW w:w="7200" w:type="dxa"/>
            <w:gridSpan w:val="3"/>
            <w:tcBorders>
              <w:top w:val="nil"/>
              <w:left w:val="nil"/>
              <w:right w:val="nil"/>
            </w:tcBorders>
          </w:tcPr>
          <w:p w:rsidR="0067370D" w:rsidRPr="000D2DF0" w:rsidRDefault="0067370D" w:rsidP="002D100F">
            <w:pPr>
              <w:spacing w:after="120"/>
              <w:rPr>
                <w:b/>
                <w:bCs/>
                <w:sz w:val="24"/>
                <w:szCs w:val="24"/>
              </w:rPr>
            </w:pPr>
            <w:r w:rsidRPr="000D2DF0">
              <w:rPr>
                <w:b/>
                <w:bCs/>
                <w:sz w:val="24"/>
                <w:szCs w:val="24"/>
              </w:rPr>
              <w:t>Table (1): Detailed Data</w:t>
            </w:r>
          </w:p>
        </w:tc>
      </w:tr>
      <w:tr w:rsidR="0067370D" w:rsidRPr="0067370D" w:rsidTr="0067370D">
        <w:tc>
          <w:tcPr>
            <w:tcW w:w="2430" w:type="dxa"/>
          </w:tcPr>
          <w:p w:rsidR="0067370D" w:rsidRPr="0067370D" w:rsidRDefault="0067370D" w:rsidP="000D2DF0">
            <w:pPr>
              <w:spacing w:after="120"/>
              <w:jc w:val="center"/>
              <w:rPr>
                <w:b/>
                <w:bCs/>
                <w:sz w:val="24"/>
                <w:szCs w:val="24"/>
              </w:rPr>
            </w:pPr>
            <w:r w:rsidRPr="0067370D">
              <w:rPr>
                <w:b/>
                <w:bCs/>
                <w:sz w:val="24"/>
                <w:szCs w:val="24"/>
              </w:rPr>
              <w:t>Data Category</w:t>
            </w:r>
          </w:p>
        </w:tc>
        <w:tc>
          <w:tcPr>
            <w:tcW w:w="2700" w:type="dxa"/>
          </w:tcPr>
          <w:p w:rsidR="0067370D" w:rsidRPr="0067370D" w:rsidRDefault="0067370D" w:rsidP="000D2DF0">
            <w:pPr>
              <w:spacing w:after="120"/>
              <w:jc w:val="center"/>
              <w:rPr>
                <w:b/>
                <w:bCs/>
                <w:sz w:val="24"/>
                <w:szCs w:val="24"/>
              </w:rPr>
            </w:pPr>
            <w:r w:rsidRPr="0067370D">
              <w:rPr>
                <w:b/>
                <w:bCs/>
                <w:sz w:val="24"/>
                <w:szCs w:val="24"/>
              </w:rPr>
              <w:t>Number of Election Lists</w:t>
            </w:r>
          </w:p>
        </w:tc>
        <w:tc>
          <w:tcPr>
            <w:tcW w:w="2070" w:type="dxa"/>
          </w:tcPr>
          <w:p w:rsidR="0067370D" w:rsidRPr="0067370D" w:rsidRDefault="0067370D" w:rsidP="000D2DF0">
            <w:pPr>
              <w:spacing w:after="120"/>
              <w:jc w:val="center"/>
              <w:rPr>
                <w:b/>
                <w:bCs/>
                <w:sz w:val="24"/>
                <w:szCs w:val="24"/>
              </w:rPr>
            </w:pPr>
            <w:r w:rsidRPr="0067370D">
              <w:rPr>
                <w:b/>
                <w:bCs/>
                <w:sz w:val="24"/>
                <w:szCs w:val="24"/>
              </w:rPr>
              <w:t>No. of Materials</w:t>
            </w:r>
          </w:p>
        </w:tc>
      </w:tr>
      <w:tr w:rsidR="0067370D" w:rsidTr="0067370D">
        <w:tc>
          <w:tcPr>
            <w:tcW w:w="2430" w:type="dxa"/>
          </w:tcPr>
          <w:p w:rsidR="0067370D" w:rsidRDefault="0067370D" w:rsidP="000D2DF0">
            <w:pPr>
              <w:spacing w:after="120"/>
              <w:jc w:val="center"/>
              <w:rPr>
                <w:sz w:val="24"/>
                <w:szCs w:val="24"/>
              </w:rPr>
            </w:pPr>
            <w:r>
              <w:rPr>
                <w:sz w:val="24"/>
                <w:szCs w:val="24"/>
              </w:rPr>
              <w:t>Election Programs</w:t>
            </w:r>
          </w:p>
        </w:tc>
        <w:tc>
          <w:tcPr>
            <w:tcW w:w="2700" w:type="dxa"/>
          </w:tcPr>
          <w:p w:rsidR="0067370D" w:rsidRDefault="0067370D" w:rsidP="000D2DF0">
            <w:pPr>
              <w:spacing w:after="120"/>
              <w:jc w:val="center"/>
              <w:rPr>
                <w:sz w:val="24"/>
                <w:szCs w:val="24"/>
              </w:rPr>
            </w:pPr>
            <w:r>
              <w:rPr>
                <w:sz w:val="24"/>
                <w:szCs w:val="24"/>
              </w:rPr>
              <w:t>475</w:t>
            </w:r>
          </w:p>
        </w:tc>
        <w:tc>
          <w:tcPr>
            <w:tcW w:w="2070" w:type="dxa"/>
          </w:tcPr>
          <w:p w:rsidR="0067370D" w:rsidRDefault="0067370D" w:rsidP="000D2DF0">
            <w:pPr>
              <w:spacing w:after="120"/>
              <w:jc w:val="center"/>
              <w:rPr>
                <w:sz w:val="24"/>
                <w:szCs w:val="24"/>
              </w:rPr>
            </w:pPr>
            <w:r>
              <w:rPr>
                <w:sz w:val="24"/>
                <w:szCs w:val="24"/>
              </w:rPr>
              <w:t>475</w:t>
            </w:r>
          </w:p>
        </w:tc>
      </w:tr>
      <w:tr w:rsidR="0067370D" w:rsidTr="0067370D">
        <w:tc>
          <w:tcPr>
            <w:tcW w:w="2430" w:type="dxa"/>
          </w:tcPr>
          <w:p w:rsidR="0067370D" w:rsidRDefault="0067370D" w:rsidP="000D2DF0">
            <w:pPr>
              <w:spacing w:after="120"/>
              <w:jc w:val="center"/>
              <w:rPr>
                <w:sz w:val="24"/>
                <w:szCs w:val="24"/>
              </w:rPr>
            </w:pPr>
            <w:r>
              <w:rPr>
                <w:sz w:val="24"/>
                <w:szCs w:val="24"/>
              </w:rPr>
              <w:t>Campaigns’ Logo</w:t>
            </w:r>
          </w:p>
        </w:tc>
        <w:tc>
          <w:tcPr>
            <w:tcW w:w="2700" w:type="dxa"/>
          </w:tcPr>
          <w:p w:rsidR="0067370D" w:rsidRDefault="0067370D" w:rsidP="000D2DF0">
            <w:pPr>
              <w:spacing w:after="120"/>
              <w:jc w:val="center"/>
              <w:rPr>
                <w:sz w:val="24"/>
                <w:szCs w:val="24"/>
              </w:rPr>
            </w:pPr>
            <w:r>
              <w:rPr>
                <w:sz w:val="24"/>
                <w:szCs w:val="24"/>
              </w:rPr>
              <w:t>475</w:t>
            </w:r>
          </w:p>
        </w:tc>
        <w:tc>
          <w:tcPr>
            <w:tcW w:w="2070" w:type="dxa"/>
          </w:tcPr>
          <w:p w:rsidR="0067370D" w:rsidRDefault="0067370D" w:rsidP="000D2DF0">
            <w:pPr>
              <w:spacing w:after="120"/>
              <w:jc w:val="center"/>
              <w:rPr>
                <w:sz w:val="24"/>
                <w:szCs w:val="24"/>
              </w:rPr>
            </w:pPr>
            <w:r>
              <w:rPr>
                <w:sz w:val="24"/>
                <w:szCs w:val="24"/>
              </w:rPr>
              <w:t>475</w:t>
            </w:r>
          </w:p>
        </w:tc>
      </w:tr>
      <w:tr w:rsidR="0067370D" w:rsidTr="0067370D">
        <w:tc>
          <w:tcPr>
            <w:tcW w:w="2430" w:type="dxa"/>
          </w:tcPr>
          <w:p w:rsidR="0067370D" w:rsidRDefault="0067370D" w:rsidP="000D2DF0">
            <w:pPr>
              <w:spacing w:after="120"/>
              <w:jc w:val="center"/>
              <w:rPr>
                <w:sz w:val="24"/>
                <w:szCs w:val="24"/>
              </w:rPr>
            </w:pPr>
            <w:r>
              <w:rPr>
                <w:sz w:val="24"/>
                <w:szCs w:val="24"/>
              </w:rPr>
              <w:t>Campaigns’ Materials</w:t>
            </w:r>
          </w:p>
        </w:tc>
        <w:tc>
          <w:tcPr>
            <w:tcW w:w="2700" w:type="dxa"/>
          </w:tcPr>
          <w:p w:rsidR="0067370D" w:rsidRDefault="0067370D" w:rsidP="000D2DF0">
            <w:pPr>
              <w:spacing w:after="120"/>
              <w:jc w:val="center"/>
              <w:rPr>
                <w:sz w:val="24"/>
                <w:szCs w:val="24"/>
              </w:rPr>
            </w:pPr>
            <w:r>
              <w:rPr>
                <w:sz w:val="24"/>
                <w:szCs w:val="24"/>
              </w:rPr>
              <w:t>226</w:t>
            </w:r>
          </w:p>
        </w:tc>
        <w:tc>
          <w:tcPr>
            <w:tcW w:w="2070" w:type="dxa"/>
          </w:tcPr>
          <w:p w:rsidR="0067370D" w:rsidRDefault="0067370D" w:rsidP="000D2DF0">
            <w:pPr>
              <w:spacing w:after="120"/>
              <w:jc w:val="center"/>
              <w:rPr>
                <w:sz w:val="24"/>
                <w:szCs w:val="24"/>
              </w:rPr>
            </w:pPr>
            <w:r>
              <w:rPr>
                <w:sz w:val="24"/>
                <w:szCs w:val="24"/>
              </w:rPr>
              <w:t>3143</w:t>
            </w:r>
          </w:p>
        </w:tc>
      </w:tr>
      <w:tr w:rsidR="0067370D" w:rsidTr="0067370D">
        <w:tc>
          <w:tcPr>
            <w:tcW w:w="2430" w:type="dxa"/>
          </w:tcPr>
          <w:p w:rsidR="0067370D" w:rsidRDefault="0067370D" w:rsidP="000D2DF0">
            <w:pPr>
              <w:spacing w:after="120"/>
              <w:jc w:val="center"/>
              <w:rPr>
                <w:sz w:val="24"/>
                <w:szCs w:val="24"/>
              </w:rPr>
            </w:pPr>
            <w:r>
              <w:rPr>
                <w:sz w:val="24"/>
                <w:szCs w:val="24"/>
              </w:rPr>
              <w:t>Broadcasted Materials</w:t>
            </w:r>
          </w:p>
        </w:tc>
        <w:tc>
          <w:tcPr>
            <w:tcW w:w="2700" w:type="dxa"/>
          </w:tcPr>
          <w:p w:rsidR="0067370D" w:rsidRDefault="0067370D" w:rsidP="000D2DF0">
            <w:pPr>
              <w:spacing w:after="120"/>
              <w:jc w:val="center"/>
              <w:rPr>
                <w:sz w:val="24"/>
                <w:szCs w:val="24"/>
              </w:rPr>
            </w:pPr>
            <w:r>
              <w:rPr>
                <w:sz w:val="24"/>
                <w:szCs w:val="24"/>
              </w:rPr>
              <w:t>13</w:t>
            </w:r>
          </w:p>
        </w:tc>
        <w:tc>
          <w:tcPr>
            <w:tcW w:w="2070" w:type="dxa"/>
          </w:tcPr>
          <w:p w:rsidR="0067370D" w:rsidRDefault="0067370D" w:rsidP="000D2DF0">
            <w:pPr>
              <w:spacing w:after="120"/>
              <w:jc w:val="center"/>
              <w:rPr>
                <w:sz w:val="24"/>
                <w:szCs w:val="24"/>
              </w:rPr>
            </w:pPr>
            <w:r>
              <w:rPr>
                <w:sz w:val="24"/>
                <w:szCs w:val="24"/>
              </w:rPr>
              <w:t>61</w:t>
            </w:r>
          </w:p>
        </w:tc>
      </w:tr>
    </w:tbl>
    <w:p w:rsidR="0067370D" w:rsidRDefault="000209C1" w:rsidP="000D2DF0">
      <w:pPr>
        <w:spacing w:before="120" w:after="120" w:line="360" w:lineRule="auto"/>
        <w:rPr>
          <w:sz w:val="24"/>
          <w:szCs w:val="24"/>
        </w:rPr>
      </w:pPr>
      <w:r>
        <w:rPr>
          <w:sz w:val="24"/>
          <w:szCs w:val="24"/>
        </w:rPr>
        <w:t>As shown in Figure 1 below, t</w:t>
      </w:r>
      <w:r w:rsidRPr="004718E3">
        <w:rPr>
          <w:sz w:val="24"/>
          <w:szCs w:val="24"/>
        </w:rPr>
        <w:t>he analyzed data includes: the election programs, the printed materials and the broadcasted interviews and video materials.</w:t>
      </w:r>
      <w:r>
        <w:rPr>
          <w:sz w:val="24"/>
          <w:szCs w:val="24"/>
        </w:rPr>
        <w:t xml:space="preserve">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7F71F0" w:rsidRPr="004718E3" w:rsidTr="000B3FEE">
        <w:tc>
          <w:tcPr>
            <w:tcW w:w="10165" w:type="dxa"/>
          </w:tcPr>
          <w:p w:rsidR="007F71F0" w:rsidRPr="004718E3" w:rsidRDefault="007F71F0" w:rsidP="000B3FEE">
            <w:pPr>
              <w:rPr>
                <w:sz w:val="24"/>
                <w:szCs w:val="24"/>
              </w:rPr>
            </w:pPr>
            <w:r w:rsidRPr="004718E3">
              <w:rPr>
                <w:noProof/>
                <w:sz w:val="24"/>
                <w:szCs w:val="24"/>
              </w:rPr>
              <w:drawing>
                <wp:inline distT="0" distB="0" distL="0" distR="0" wp14:anchorId="0D51632B" wp14:editId="06561B81">
                  <wp:extent cx="6287404" cy="4185557"/>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6298060" cy="4192650"/>
                          </a:xfrm>
                          <a:prstGeom prst="rect">
                            <a:avLst/>
                          </a:prstGeom>
                        </pic:spPr>
                      </pic:pic>
                    </a:graphicData>
                  </a:graphic>
                </wp:inline>
              </w:drawing>
            </w:r>
          </w:p>
        </w:tc>
      </w:tr>
      <w:tr w:rsidR="007F71F0" w:rsidRPr="004718E3" w:rsidTr="000B3FEE">
        <w:tc>
          <w:tcPr>
            <w:tcW w:w="10165" w:type="dxa"/>
          </w:tcPr>
          <w:p w:rsidR="007F71F0" w:rsidRPr="000B3FEE" w:rsidRDefault="007F71F0" w:rsidP="000B3FEE">
            <w:pPr>
              <w:jc w:val="center"/>
              <w:rPr>
                <w:b/>
                <w:bCs/>
                <w:sz w:val="24"/>
                <w:szCs w:val="24"/>
              </w:rPr>
            </w:pPr>
          </w:p>
          <w:p w:rsidR="007F71F0" w:rsidRPr="000B3FEE" w:rsidRDefault="007F71F0" w:rsidP="000B3FEE">
            <w:pPr>
              <w:jc w:val="center"/>
              <w:rPr>
                <w:b/>
                <w:bCs/>
                <w:sz w:val="24"/>
                <w:szCs w:val="24"/>
              </w:rPr>
            </w:pPr>
            <w:r w:rsidRPr="000B3FEE">
              <w:rPr>
                <w:b/>
                <w:bCs/>
                <w:sz w:val="24"/>
                <w:szCs w:val="24"/>
              </w:rPr>
              <w:t>Figure (1): Study Methodology</w:t>
            </w:r>
          </w:p>
        </w:tc>
      </w:tr>
    </w:tbl>
    <w:p w:rsidR="007F71F0" w:rsidRPr="004718E3" w:rsidRDefault="007F71F0" w:rsidP="000D2DF0">
      <w:pPr>
        <w:spacing w:before="120" w:after="120" w:line="360" w:lineRule="auto"/>
        <w:rPr>
          <w:sz w:val="24"/>
          <w:szCs w:val="24"/>
        </w:rPr>
      </w:pPr>
    </w:p>
    <w:p w:rsidR="00566A75" w:rsidRDefault="00687A83" w:rsidP="00566A75">
      <w:pPr>
        <w:spacing w:before="120" w:after="120" w:line="360" w:lineRule="auto"/>
        <w:rPr>
          <w:sz w:val="24"/>
          <w:szCs w:val="24"/>
          <w:rtl/>
        </w:rPr>
      </w:pPr>
      <w:r>
        <w:rPr>
          <w:sz w:val="24"/>
          <w:szCs w:val="24"/>
        </w:rPr>
        <w:t>All data sets were collected by the researcher from the official online websites and fr</w:t>
      </w:r>
      <w:r w:rsidR="00DD2716">
        <w:rPr>
          <w:sz w:val="24"/>
          <w:szCs w:val="24"/>
        </w:rPr>
        <w:t xml:space="preserve">om Palestinian Central Elections Commission website and offices. Special forms were prepared to conduct </w:t>
      </w:r>
      <w:r w:rsidR="0040081F">
        <w:rPr>
          <w:sz w:val="24"/>
          <w:szCs w:val="24"/>
        </w:rPr>
        <w:t xml:space="preserve">a </w:t>
      </w:r>
      <w:r w:rsidR="00DD2716">
        <w:rPr>
          <w:sz w:val="24"/>
          <w:szCs w:val="24"/>
        </w:rPr>
        <w:t>systematic review of the th</w:t>
      </w:r>
      <w:r w:rsidR="0040081F">
        <w:rPr>
          <w:sz w:val="24"/>
          <w:szCs w:val="24"/>
        </w:rPr>
        <w:t>ree types of election</w:t>
      </w:r>
      <w:r w:rsidR="002D100F">
        <w:rPr>
          <w:sz w:val="24"/>
          <w:szCs w:val="24"/>
        </w:rPr>
        <w:t xml:space="preserve"> campaign</w:t>
      </w:r>
      <w:r w:rsidR="0040081F">
        <w:rPr>
          <w:sz w:val="24"/>
          <w:szCs w:val="24"/>
        </w:rPr>
        <w:t xml:space="preserve"> materials. </w:t>
      </w:r>
      <w:r w:rsidR="00566A75">
        <w:rPr>
          <w:sz w:val="24"/>
          <w:szCs w:val="24"/>
        </w:rPr>
        <w:t xml:space="preserve">The election lists were classified into three classes that were selected specifically for their potential to have significant differences. The expected differences might lead to practical recommendations to improve the practices public involvement on the planning process. </w:t>
      </w:r>
    </w:p>
    <w:p w:rsidR="008D175F" w:rsidRDefault="00566A75" w:rsidP="000D2DF0">
      <w:pPr>
        <w:spacing w:before="120" w:after="120" w:line="360" w:lineRule="auto"/>
        <w:rPr>
          <w:sz w:val="24"/>
          <w:szCs w:val="24"/>
        </w:rPr>
      </w:pPr>
      <w:r>
        <w:rPr>
          <w:sz w:val="24"/>
          <w:szCs w:val="24"/>
        </w:rPr>
        <w:t xml:space="preserve">The </w:t>
      </w:r>
      <w:r w:rsidR="0040081F">
        <w:rPr>
          <w:sz w:val="24"/>
          <w:szCs w:val="24"/>
        </w:rPr>
        <w:t>classes</w:t>
      </w:r>
      <w:r>
        <w:rPr>
          <w:sz w:val="24"/>
          <w:szCs w:val="24"/>
        </w:rPr>
        <w:t xml:space="preserve"> include</w:t>
      </w:r>
      <w:r w:rsidR="0040081F">
        <w:rPr>
          <w:sz w:val="24"/>
          <w:szCs w:val="24"/>
        </w:rPr>
        <w:t>: (1) according to the administrative level of the community whether it is a village council or a municipal council; (2) according to its political belonging</w:t>
      </w:r>
      <w:r w:rsidR="008D175F">
        <w:rPr>
          <w:sz w:val="24"/>
          <w:szCs w:val="24"/>
        </w:rPr>
        <w:t xml:space="preserve"> whether the candidate belongs to a political party or independent</w:t>
      </w:r>
      <w:r w:rsidR="0040081F">
        <w:rPr>
          <w:sz w:val="24"/>
          <w:szCs w:val="24"/>
        </w:rPr>
        <w:t xml:space="preserve">; and (3) according to </w:t>
      </w:r>
      <w:r w:rsidR="009A75F3">
        <w:rPr>
          <w:sz w:val="24"/>
          <w:szCs w:val="24"/>
        </w:rPr>
        <w:t xml:space="preserve">the governorate </w:t>
      </w:r>
      <w:r w:rsidR="008D175F">
        <w:rPr>
          <w:sz w:val="24"/>
          <w:szCs w:val="24"/>
        </w:rPr>
        <w:t xml:space="preserve">where the community is located. </w:t>
      </w:r>
    </w:p>
    <w:p w:rsidR="00687A83" w:rsidRPr="00687A83" w:rsidRDefault="00687A83" w:rsidP="00AA097F">
      <w:pPr>
        <w:spacing w:before="120" w:after="120" w:line="360" w:lineRule="auto"/>
        <w:rPr>
          <w:b/>
          <w:bCs/>
          <w:sz w:val="24"/>
          <w:szCs w:val="24"/>
        </w:rPr>
      </w:pPr>
      <w:r w:rsidRPr="00687A83">
        <w:rPr>
          <w:b/>
          <w:bCs/>
          <w:sz w:val="24"/>
          <w:szCs w:val="24"/>
        </w:rPr>
        <w:t xml:space="preserve">3. </w:t>
      </w:r>
      <w:r w:rsidR="00AA097F">
        <w:rPr>
          <w:b/>
          <w:bCs/>
          <w:sz w:val="24"/>
          <w:szCs w:val="24"/>
        </w:rPr>
        <w:t>Results</w:t>
      </w:r>
      <w:r w:rsidRPr="00687A83">
        <w:rPr>
          <w:b/>
          <w:bCs/>
          <w:sz w:val="24"/>
          <w:szCs w:val="24"/>
        </w:rPr>
        <w:t xml:space="preserve"> and Discussion</w:t>
      </w:r>
    </w:p>
    <w:p w:rsidR="00FC1EFD" w:rsidRDefault="00FC1EFD" w:rsidP="00FC1EFD">
      <w:pPr>
        <w:spacing w:before="120" w:after="120" w:line="360" w:lineRule="auto"/>
        <w:rPr>
          <w:sz w:val="24"/>
          <w:szCs w:val="24"/>
        </w:rPr>
      </w:pPr>
      <w:r w:rsidRPr="004718E3">
        <w:rPr>
          <w:sz w:val="24"/>
          <w:szCs w:val="24"/>
        </w:rPr>
        <w:t xml:space="preserve">The results indicate that 54% of the campaigns considers the community as a main partner in the decision making process. A lower percent (11%) indicates that the community is/will be a monitor on the municipality performance. </w:t>
      </w:r>
    </w:p>
    <w:p w:rsidR="00061A47" w:rsidRDefault="00AA097F" w:rsidP="001D4A29">
      <w:pPr>
        <w:spacing w:before="120" w:after="120" w:line="360" w:lineRule="auto"/>
        <w:rPr>
          <w:sz w:val="24"/>
          <w:szCs w:val="24"/>
        </w:rPr>
      </w:pPr>
      <w:r>
        <w:rPr>
          <w:sz w:val="24"/>
          <w:szCs w:val="24"/>
        </w:rPr>
        <w:t xml:space="preserve">In general, the </w:t>
      </w:r>
      <w:r w:rsidR="002D100F">
        <w:rPr>
          <w:sz w:val="24"/>
          <w:szCs w:val="24"/>
        </w:rPr>
        <w:t xml:space="preserve">analysis </w:t>
      </w:r>
      <w:r>
        <w:rPr>
          <w:sz w:val="24"/>
          <w:szCs w:val="24"/>
        </w:rPr>
        <w:t>of the election program show</w:t>
      </w:r>
      <w:r w:rsidR="002D100F">
        <w:rPr>
          <w:sz w:val="24"/>
          <w:szCs w:val="24"/>
        </w:rPr>
        <w:t xml:space="preserve"> </w:t>
      </w:r>
      <w:r>
        <w:rPr>
          <w:sz w:val="24"/>
          <w:szCs w:val="24"/>
        </w:rPr>
        <w:t xml:space="preserve">promising results as 89% of the programs include at least one </w:t>
      </w:r>
      <w:r w:rsidR="0094437E">
        <w:rPr>
          <w:sz w:val="24"/>
          <w:szCs w:val="24"/>
        </w:rPr>
        <w:t xml:space="preserve">aspect of the public participation. The political parties </w:t>
      </w:r>
      <w:r w:rsidR="006D3A75">
        <w:rPr>
          <w:sz w:val="24"/>
          <w:szCs w:val="24"/>
        </w:rPr>
        <w:t xml:space="preserve">express higher interests in public participation (78%) than the independent candidates (48%). The other results </w:t>
      </w:r>
      <w:r w:rsidR="001D4A29">
        <w:rPr>
          <w:sz w:val="24"/>
          <w:szCs w:val="24"/>
        </w:rPr>
        <w:t>are</w:t>
      </w:r>
      <w:r w:rsidR="006D3A75">
        <w:rPr>
          <w:sz w:val="24"/>
          <w:szCs w:val="24"/>
        </w:rPr>
        <w:t xml:space="preserve"> almost equal with no significant differences between municipal councils and village councils, and the governorates also </w:t>
      </w:r>
      <w:r w:rsidR="001D4A29">
        <w:rPr>
          <w:sz w:val="24"/>
          <w:szCs w:val="24"/>
        </w:rPr>
        <w:t>have</w:t>
      </w:r>
      <w:r w:rsidR="006D3A75">
        <w:rPr>
          <w:sz w:val="24"/>
          <w:szCs w:val="24"/>
        </w:rPr>
        <w:t xml:space="preserve"> no significant differences. </w:t>
      </w:r>
    </w:p>
    <w:p w:rsidR="006E34F0" w:rsidRDefault="006E34F0" w:rsidP="001D4A29">
      <w:pPr>
        <w:spacing w:before="120" w:after="120" w:line="360" w:lineRule="auto"/>
        <w:rPr>
          <w:sz w:val="24"/>
          <w:szCs w:val="24"/>
        </w:rPr>
      </w:pPr>
      <w:r>
        <w:rPr>
          <w:sz w:val="24"/>
          <w:szCs w:val="24"/>
        </w:rPr>
        <w:t xml:space="preserve">The campaign logo analysis show also that the political parties express more interests in the participation. The </w:t>
      </w:r>
      <w:r w:rsidR="00930EFF">
        <w:rPr>
          <w:sz w:val="24"/>
          <w:szCs w:val="24"/>
        </w:rPr>
        <w:t>results indicate that 63% of the political election-</w:t>
      </w:r>
      <w:r>
        <w:rPr>
          <w:sz w:val="24"/>
          <w:szCs w:val="24"/>
        </w:rPr>
        <w:t xml:space="preserve">lists </w:t>
      </w:r>
      <w:r w:rsidR="00930EFF">
        <w:rPr>
          <w:sz w:val="24"/>
          <w:szCs w:val="24"/>
        </w:rPr>
        <w:t xml:space="preserve">focus on the public participation while 33% of the independent lists </w:t>
      </w:r>
      <w:r w:rsidR="001D4A29">
        <w:rPr>
          <w:sz w:val="24"/>
          <w:szCs w:val="24"/>
        </w:rPr>
        <w:t>don’t</w:t>
      </w:r>
      <w:r w:rsidR="00930EFF">
        <w:rPr>
          <w:sz w:val="24"/>
          <w:szCs w:val="24"/>
        </w:rPr>
        <w:t xml:space="preserve"> include any sign of the participation. </w:t>
      </w:r>
    </w:p>
    <w:p w:rsidR="006D3A75" w:rsidRDefault="00FC1EFD" w:rsidP="001D4A29">
      <w:pPr>
        <w:spacing w:before="120" w:after="120" w:line="360" w:lineRule="auto"/>
        <w:rPr>
          <w:sz w:val="24"/>
          <w:szCs w:val="24"/>
        </w:rPr>
      </w:pPr>
      <w:r>
        <w:rPr>
          <w:sz w:val="24"/>
          <w:szCs w:val="24"/>
        </w:rPr>
        <w:t xml:space="preserve">The printed </w:t>
      </w:r>
      <w:r w:rsidR="00477550">
        <w:rPr>
          <w:sz w:val="24"/>
          <w:szCs w:val="24"/>
        </w:rPr>
        <w:t xml:space="preserve">materials show that 49% of the analyzed materials focus on the </w:t>
      </w:r>
      <w:r w:rsidR="007118BD">
        <w:rPr>
          <w:sz w:val="24"/>
          <w:szCs w:val="24"/>
        </w:rPr>
        <w:t xml:space="preserve">public participation and 51% </w:t>
      </w:r>
      <w:r w:rsidR="001D4A29">
        <w:rPr>
          <w:sz w:val="24"/>
          <w:szCs w:val="24"/>
        </w:rPr>
        <w:t>don’t</w:t>
      </w:r>
      <w:r w:rsidR="007118BD">
        <w:rPr>
          <w:sz w:val="24"/>
          <w:szCs w:val="24"/>
        </w:rPr>
        <w:t xml:space="preserve"> mention the participation. This percentage </w:t>
      </w:r>
      <w:r w:rsidR="001D4A29">
        <w:rPr>
          <w:sz w:val="24"/>
          <w:szCs w:val="24"/>
        </w:rPr>
        <w:t>is</w:t>
      </w:r>
      <w:r w:rsidR="007118BD">
        <w:rPr>
          <w:sz w:val="24"/>
          <w:szCs w:val="24"/>
        </w:rPr>
        <w:t xml:space="preserve"> almost evenly reflected on the three classes of the analysis with no significant differences among the municipal and village councils, political parties</w:t>
      </w:r>
      <w:r w:rsidR="001D4A29">
        <w:rPr>
          <w:sz w:val="24"/>
          <w:szCs w:val="24"/>
        </w:rPr>
        <w:t xml:space="preserve"> and independents</w:t>
      </w:r>
      <w:r w:rsidR="007118BD">
        <w:rPr>
          <w:sz w:val="24"/>
          <w:szCs w:val="24"/>
        </w:rPr>
        <w:t xml:space="preserve">, and </w:t>
      </w:r>
      <w:r w:rsidR="001D4A29">
        <w:rPr>
          <w:sz w:val="24"/>
          <w:szCs w:val="24"/>
        </w:rPr>
        <w:t xml:space="preserve">among </w:t>
      </w:r>
      <w:r w:rsidR="007118BD">
        <w:rPr>
          <w:sz w:val="24"/>
          <w:szCs w:val="24"/>
        </w:rPr>
        <w:t xml:space="preserve">the governorates. </w:t>
      </w:r>
    </w:p>
    <w:p w:rsidR="007118BD" w:rsidRDefault="007118BD" w:rsidP="001D4A29">
      <w:pPr>
        <w:spacing w:before="120" w:after="120" w:line="360" w:lineRule="auto"/>
        <w:rPr>
          <w:sz w:val="24"/>
          <w:szCs w:val="24"/>
        </w:rPr>
      </w:pPr>
      <w:r>
        <w:rPr>
          <w:sz w:val="24"/>
          <w:szCs w:val="24"/>
        </w:rPr>
        <w:lastRenderedPageBreak/>
        <w:t xml:space="preserve">Finally, </w:t>
      </w:r>
      <w:r w:rsidR="006E34F0">
        <w:rPr>
          <w:sz w:val="24"/>
          <w:szCs w:val="24"/>
        </w:rPr>
        <w:t xml:space="preserve">46% of </w:t>
      </w:r>
      <w:r>
        <w:rPr>
          <w:sz w:val="24"/>
          <w:szCs w:val="24"/>
        </w:rPr>
        <w:t xml:space="preserve">the broadcasted and video materials </w:t>
      </w:r>
      <w:r w:rsidR="006E34F0">
        <w:rPr>
          <w:sz w:val="24"/>
          <w:szCs w:val="24"/>
        </w:rPr>
        <w:t>emphasiz</w:t>
      </w:r>
      <w:r w:rsidR="001D4A29">
        <w:rPr>
          <w:sz w:val="24"/>
          <w:szCs w:val="24"/>
        </w:rPr>
        <w:t>e</w:t>
      </w:r>
      <w:r w:rsidR="006E34F0">
        <w:rPr>
          <w:sz w:val="24"/>
          <w:szCs w:val="24"/>
        </w:rPr>
        <w:t xml:space="preserve"> the public involvement and any related issues, while 64% neglect the public participation. </w:t>
      </w:r>
    </w:p>
    <w:p w:rsidR="00FC1EFD" w:rsidRPr="0008360F" w:rsidRDefault="0008360F" w:rsidP="000D2DF0">
      <w:pPr>
        <w:spacing w:before="120" w:after="120" w:line="360" w:lineRule="auto"/>
        <w:rPr>
          <w:b/>
          <w:bCs/>
          <w:sz w:val="24"/>
          <w:szCs w:val="24"/>
        </w:rPr>
      </w:pPr>
      <w:r w:rsidRPr="0008360F">
        <w:rPr>
          <w:b/>
          <w:bCs/>
          <w:sz w:val="24"/>
          <w:szCs w:val="24"/>
        </w:rPr>
        <w:t xml:space="preserve">4. Recommendations </w:t>
      </w:r>
    </w:p>
    <w:p w:rsidR="005631E1" w:rsidRPr="00F5414F" w:rsidRDefault="005631E1" w:rsidP="005631E1">
      <w:pPr>
        <w:spacing w:before="120" w:after="120" w:line="360" w:lineRule="auto"/>
        <w:rPr>
          <w:sz w:val="24"/>
          <w:szCs w:val="24"/>
        </w:rPr>
      </w:pPr>
      <w:r w:rsidRPr="00F5414F">
        <w:rPr>
          <w:sz w:val="24"/>
          <w:szCs w:val="24"/>
        </w:rPr>
        <w:t>Referring to the results above, the study recommends to invest the relative high awareness of the election candidates through the following procedures:</w:t>
      </w:r>
    </w:p>
    <w:p w:rsidR="005631E1" w:rsidRPr="00F5414F" w:rsidRDefault="005631E1" w:rsidP="001D4A29">
      <w:pPr>
        <w:spacing w:before="120" w:after="120" w:line="360" w:lineRule="auto"/>
        <w:rPr>
          <w:sz w:val="24"/>
          <w:szCs w:val="24"/>
        </w:rPr>
      </w:pPr>
      <w:r w:rsidRPr="00F5414F">
        <w:rPr>
          <w:sz w:val="24"/>
          <w:szCs w:val="24"/>
        </w:rPr>
        <w:t>1. New laws that motivate the decision makers to involve the public</w:t>
      </w:r>
      <w:r w:rsidR="001D4A29">
        <w:rPr>
          <w:sz w:val="24"/>
          <w:szCs w:val="24"/>
        </w:rPr>
        <w:t xml:space="preserve"> in the decision making process and d</w:t>
      </w:r>
      <w:r w:rsidRPr="00F5414F">
        <w:rPr>
          <w:sz w:val="24"/>
          <w:szCs w:val="24"/>
        </w:rPr>
        <w:t>eveloping new practical mechanisms to apply the relevant laws;</w:t>
      </w:r>
    </w:p>
    <w:p w:rsidR="005631E1" w:rsidRPr="00F5414F" w:rsidRDefault="001D4A29" w:rsidP="005631E1">
      <w:pPr>
        <w:spacing w:before="120" w:after="120" w:line="360" w:lineRule="auto"/>
        <w:rPr>
          <w:sz w:val="24"/>
          <w:szCs w:val="24"/>
        </w:rPr>
      </w:pPr>
      <w:r>
        <w:rPr>
          <w:sz w:val="24"/>
          <w:szCs w:val="24"/>
        </w:rPr>
        <w:t>2</w:t>
      </w:r>
      <w:r w:rsidR="005631E1" w:rsidRPr="00F5414F">
        <w:rPr>
          <w:sz w:val="24"/>
          <w:szCs w:val="24"/>
        </w:rPr>
        <w:t>. Design and implement training programs for the decision makers at the local level on the importance of the public participation and its role in the development process;</w:t>
      </w:r>
    </w:p>
    <w:p w:rsidR="005631E1" w:rsidRPr="00F5414F" w:rsidRDefault="001D4A29" w:rsidP="005631E1">
      <w:pPr>
        <w:spacing w:before="120" w:after="120" w:line="360" w:lineRule="auto"/>
        <w:rPr>
          <w:sz w:val="24"/>
          <w:szCs w:val="24"/>
        </w:rPr>
      </w:pPr>
      <w:r>
        <w:rPr>
          <w:sz w:val="24"/>
          <w:szCs w:val="24"/>
        </w:rPr>
        <w:t>3</w:t>
      </w:r>
      <w:r w:rsidR="005631E1" w:rsidRPr="00F5414F">
        <w:rPr>
          <w:sz w:val="24"/>
          <w:szCs w:val="24"/>
        </w:rPr>
        <w:t xml:space="preserve">. Design and implement awareness programs for the general public on their role on the planning process and their relevant rights; and </w:t>
      </w:r>
    </w:p>
    <w:p w:rsidR="005631E1" w:rsidRDefault="001D4A29" w:rsidP="001D4A29">
      <w:pPr>
        <w:spacing w:before="120" w:after="120" w:line="360" w:lineRule="auto"/>
        <w:rPr>
          <w:sz w:val="24"/>
          <w:szCs w:val="24"/>
        </w:rPr>
      </w:pPr>
      <w:r>
        <w:rPr>
          <w:sz w:val="24"/>
          <w:szCs w:val="24"/>
        </w:rPr>
        <w:t>4</w:t>
      </w:r>
      <w:r w:rsidR="005631E1" w:rsidRPr="00F5414F">
        <w:rPr>
          <w:sz w:val="24"/>
          <w:szCs w:val="24"/>
        </w:rPr>
        <w:t xml:space="preserve">. Design appropriate public participation tools that stem from the Palestinian </w:t>
      </w:r>
      <w:r>
        <w:rPr>
          <w:sz w:val="24"/>
          <w:szCs w:val="24"/>
        </w:rPr>
        <w:t>context</w:t>
      </w:r>
      <w:r w:rsidR="005631E1" w:rsidRPr="00F5414F">
        <w:rPr>
          <w:sz w:val="24"/>
          <w:szCs w:val="24"/>
        </w:rPr>
        <w:t>.</w:t>
      </w:r>
    </w:p>
    <w:p w:rsidR="00011FD4" w:rsidRPr="004718E3" w:rsidRDefault="000E213C" w:rsidP="00D259BD">
      <w:pPr>
        <w:spacing w:before="120" w:after="120" w:line="360" w:lineRule="auto"/>
        <w:rPr>
          <w:sz w:val="24"/>
          <w:szCs w:val="24"/>
        </w:rPr>
      </w:pPr>
      <w:r w:rsidRPr="00F5414F">
        <w:rPr>
          <w:sz w:val="24"/>
          <w:szCs w:val="24"/>
        </w:rPr>
        <w:t>Finally, the study is an initiative to draw the researchers</w:t>
      </w:r>
      <w:r w:rsidR="00D259BD">
        <w:rPr>
          <w:sz w:val="24"/>
          <w:szCs w:val="24"/>
        </w:rPr>
        <w:t>’</w:t>
      </w:r>
      <w:r w:rsidRPr="00F5414F">
        <w:rPr>
          <w:sz w:val="24"/>
          <w:szCs w:val="24"/>
        </w:rPr>
        <w:t xml:space="preserve"> and the decision makers</w:t>
      </w:r>
      <w:r w:rsidR="00D259BD">
        <w:rPr>
          <w:sz w:val="24"/>
          <w:szCs w:val="24"/>
        </w:rPr>
        <w:t xml:space="preserve">’ </w:t>
      </w:r>
      <w:r w:rsidR="00D259BD" w:rsidRPr="00F5414F">
        <w:rPr>
          <w:sz w:val="24"/>
          <w:szCs w:val="24"/>
        </w:rPr>
        <w:t>attention</w:t>
      </w:r>
      <w:r w:rsidRPr="00F5414F">
        <w:rPr>
          <w:sz w:val="24"/>
          <w:szCs w:val="24"/>
        </w:rPr>
        <w:t xml:space="preserve"> to the importance of the public participation issue in Palestine. This initiative can be developed and built on by other researchers to do more investigation on the role of the local leaders in adopting and implementing policies and strategies of public participation in the planning process.</w:t>
      </w:r>
      <w:bookmarkStart w:id="0" w:name="_GoBack"/>
      <w:bookmarkEnd w:id="0"/>
    </w:p>
    <w:sectPr w:rsidR="00011FD4" w:rsidRPr="00471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B3A"/>
    <w:multiLevelType w:val="hybridMultilevel"/>
    <w:tmpl w:val="AE7A0A7C"/>
    <w:lvl w:ilvl="0" w:tplc="A492F23A">
      <w:start w:val="1"/>
      <w:numFmt w:val="decimal"/>
      <w:lvlText w:val="%1."/>
      <w:lvlJc w:val="left"/>
      <w:pPr>
        <w:ind w:left="720" w:hanging="360"/>
      </w:pPr>
      <w:rPr>
        <w:rFonts w:hint="default"/>
        <w:b/>
        <w:bCs/>
        <w:color w:val="2F5496" w:themeColor="accent1" w:themeShade="BF"/>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76172"/>
    <w:multiLevelType w:val="hybridMultilevel"/>
    <w:tmpl w:val="0094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C5965"/>
    <w:multiLevelType w:val="hybridMultilevel"/>
    <w:tmpl w:val="9FE22656"/>
    <w:lvl w:ilvl="0" w:tplc="23E0C31A">
      <w:start w:val="1"/>
      <w:numFmt w:val="bullet"/>
      <w:lvlText w:val="•"/>
      <w:lvlJc w:val="left"/>
      <w:pPr>
        <w:tabs>
          <w:tab w:val="num" w:pos="720"/>
        </w:tabs>
        <w:ind w:left="720" w:hanging="360"/>
      </w:pPr>
      <w:rPr>
        <w:rFonts w:ascii="Arial" w:hAnsi="Arial" w:hint="default"/>
      </w:rPr>
    </w:lvl>
    <w:lvl w:ilvl="1" w:tplc="3A123CB2" w:tentative="1">
      <w:start w:val="1"/>
      <w:numFmt w:val="bullet"/>
      <w:lvlText w:val="•"/>
      <w:lvlJc w:val="left"/>
      <w:pPr>
        <w:tabs>
          <w:tab w:val="num" w:pos="1440"/>
        </w:tabs>
        <w:ind w:left="1440" w:hanging="360"/>
      </w:pPr>
      <w:rPr>
        <w:rFonts w:ascii="Arial" w:hAnsi="Arial" w:hint="default"/>
      </w:rPr>
    </w:lvl>
    <w:lvl w:ilvl="2" w:tplc="C3123B96">
      <w:start w:val="1"/>
      <w:numFmt w:val="bullet"/>
      <w:lvlText w:val="•"/>
      <w:lvlJc w:val="left"/>
      <w:pPr>
        <w:tabs>
          <w:tab w:val="num" w:pos="2160"/>
        </w:tabs>
        <w:ind w:left="2160" w:hanging="360"/>
      </w:pPr>
      <w:rPr>
        <w:rFonts w:ascii="Arial" w:hAnsi="Arial" w:hint="default"/>
      </w:rPr>
    </w:lvl>
    <w:lvl w:ilvl="3" w:tplc="39829570" w:tentative="1">
      <w:start w:val="1"/>
      <w:numFmt w:val="bullet"/>
      <w:lvlText w:val="•"/>
      <w:lvlJc w:val="left"/>
      <w:pPr>
        <w:tabs>
          <w:tab w:val="num" w:pos="2880"/>
        </w:tabs>
        <w:ind w:left="2880" w:hanging="360"/>
      </w:pPr>
      <w:rPr>
        <w:rFonts w:ascii="Arial" w:hAnsi="Arial" w:hint="default"/>
      </w:rPr>
    </w:lvl>
    <w:lvl w:ilvl="4" w:tplc="96D04DA4" w:tentative="1">
      <w:start w:val="1"/>
      <w:numFmt w:val="bullet"/>
      <w:lvlText w:val="•"/>
      <w:lvlJc w:val="left"/>
      <w:pPr>
        <w:tabs>
          <w:tab w:val="num" w:pos="3600"/>
        </w:tabs>
        <w:ind w:left="3600" w:hanging="360"/>
      </w:pPr>
      <w:rPr>
        <w:rFonts w:ascii="Arial" w:hAnsi="Arial" w:hint="default"/>
      </w:rPr>
    </w:lvl>
    <w:lvl w:ilvl="5" w:tplc="E72282D8" w:tentative="1">
      <w:start w:val="1"/>
      <w:numFmt w:val="bullet"/>
      <w:lvlText w:val="•"/>
      <w:lvlJc w:val="left"/>
      <w:pPr>
        <w:tabs>
          <w:tab w:val="num" w:pos="4320"/>
        </w:tabs>
        <w:ind w:left="4320" w:hanging="360"/>
      </w:pPr>
      <w:rPr>
        <w:rFonts w:ascii="Arial" w:hAnsi="Arial" w:hint="default"/>
      </w:rPr>
    </w:lvl>
    <w:lvl w:ilvl="6" w:tplc="2266FDC6" w:tentative="1">
      <w:start w:val="1"/>
      <w:numFmt w:val="bullet"/>
      <w:lvlText w:val="•"/>
      <w:lvlJc w:val="left"/>
      <w:pPr>
        <w:tabs>
          <w:tab w:val="num" w:pos="5040"/>
        </w:tabs>
        <w:ind w:left="5040" w:hanging="360"/>
      </w:pPr>
      <w:rPr>
        <w:rFonts w:ascii="Arial" w:hAnsi="Arial" w:hint="default"/>
      </w:rPr>
    </w:lvl>
    <w:lvl w:ilvl="7" w:tplc="20222E62" w:tentative="1">
      <w:start w:val="1"/>
      <w:numFmt w:val="bullet"/>
      <w:lvlText w:val="•"/>
      <w:lvlJc w:val="left"/>
      <w:pPr>
        <w:tabs>
          <w:tab w:val="num" w:pos="5760"/>
        </w:tabs>
        <w:ind w:left="5760" w:hanging="360"/>
      </w:pPr>
      <w:rPr>
        <w:rFonts w:ascii="Arial" w:hAnsi="Arial" w:hint="default"/>
      </w:rPr>
    </w:lvl>
    <w:lvl w:ilvl="8" w:tplc="E15AF43A" w:tentative="1">
      <w:start w:val="1"/>
      <w:numFmt w:val="bullet"/>
      <w:lvlText w:val="•"/>
      <w:lvlJc w:val="left"/>
      <w:pPr>
        <w:tabs>
          <w:tab w:val="num" w:pos="6480"/>
        </w:tabs>
        <w:ind w:left="6480" w:hanging="360"/>
      </w:pPr>
      <w:rPr>
        <w:rFonts w:ascii="Arial" w:hAnsi="Arial" w:hint="default"/>
      </w:rPr>
    </w:lvl>
  </w:abstractNum>
  <w:abstractNum w:abstractNumId="3">
    <w:nsid w:val="769160FF"/>
    <w:multiLevelType w:val="hybridMultilevel"/>
    <w:tmpl w:val="CC940144"/>
    <w:lvl w:ilvl="0" w:tplc="0C9C1480">
      <w:start w:val="1"/>
      <w:numFmt w:val="decimal"/>
      <w:lvlText w:val="%1."/>
      <w:lvlJc w:val="left"/>
      <w:pPr>
        <w:tabs>
          <w:tab w:val="num" w:pos="720"/>
        </w:tabs>
        <w:ind w:left="720" w:hanging="360"/>
      </w:pPr>
    </w:lvl>
    <w:lvl w:ilvl="1" w:tplc="D3144C04" w:tentative="1">
      <w:start w:val="1"/>
      <w:numFmt w:val="decimal"/>
      <w:lvlText w:val="%2."/>
      <w:lvlJc w:val="left"/>
      <w:pPr>
        <w:tabs>
          <w:tab w:val="num" w:pos="1440"/>
        </w:tabs>
        <w:ind w:left="1440" w:hanging="360"/>
      </w:pPr>
    </w:lvl>
    <w:lvl w:ilvl="2" w:tplc="B8144E78">
      <w:start w:val="29"/>
      <w:numFmt w:val="bullet"/>
      <w:lvlText w:val="•"/>
      <w:lvlJc w:val="left"/>
      <w:pPr>
        <w:tabs>
          <w:tab w:val="num" w:pos="2160"/>
        </w:tabs>
        <w:ind w:left="2160" w:hanging="360"/>
      </w:pPr>
      <w:rPr>
        <w:rFonts w:ascii="Arial" w:hAnsi="Arial" w:hint="default"/>
      </w:rPr>
    </w:lvl>
    <w:lvl w:ilvl="3" w:tplc="CCAC7F8C" w:tentative="1">
      <w:start w:val="1"/>
      <w:numFmt w:val="decimal"/>
      <w:lvlText w:val="%4."/>
      <w:lvlJc w:val="left"/>
      <w:pPr>
        <w:tabs>
          <w:tab w:val="num" w:pos="2880"/>
        </w:tabs>
        <w:ind w:left="2880" w:hanging="360"/>
      </w:pPr>
    </w:lvl>
    <w:lvl w:ilvl="4" w:tplc="A9084570" w:tentative="1">
      <w:start w:val="1"/>
      <w:numFmt w:val="decimal"/>
      <w:lvlText w:val="%5."/>
      <w:lvlJc w:val="left"/>
      <w:pPr>
        <w:tabs>
          <w:tab w:val="num" w:pos="3600"/>
        </w:tabs>
        <w:ind w:left="3600" w:hanging="360"/>
      </w:pPr>
    </w:lvl>
    <w:lvl w:ilvl="5" w:tplc="57C23FE6" w:tentative="1">
      <w:start w:val="1"/>
      <w:numFmt w:val="decimal"/>
      <w:lvlText w:val="%6."/>
      <w:lvlJc w:val="left"/>
      <w:pPr>
        <w:tabs>
          <w:tab w:val="num" w:pos="4320"/>
        </w:tabs>
        <w:ind w:left="4320" w:hanging="360"/>
      </w:pPr>
    </w:lvl>
    <w:lvl w:ilvl="6" w:tplc="CD6C4A70" w:tentative="1">
      <w:start w:val="1"/>
      <w:numFmt w:val="decimal"/>
      <w:lvlText w:val="%7."/>
      <w:lvlJc w:val="left"/>
      <w:pPr>
        <w:tabs>
          <w:tab w:val="num" w:pos="5040"/>
        </w:tabs>
        <w:ind w:left="5040" w:hanging="360"/>
      </w:pPr>
    </w:lvl>
    <w:lvl w:ilvl="7" w:tplc="41CA586E" w:tentative="1">
      <w:start w:val="1"/>
      <w:numFmt w:val="decimal"/>
      <w:lvlText w:val="%8."/>
      <w:lvlJc w:val="left"/>
      <w:pPr>
        <w:tabs>
          <w:tab w:val="num" w:pos="5760"/>
        </w:tabs>
        <w:ind w:left="5760" w:hanging="360"/>
      </w:pPr>
    </w:lvl>
    <w:lvl w:ilvl="8" w:tplc="EA9C1684" w:tentative="1">
      <w:start w:val="1"/>
      <w:numFmt w:val="decimal"/>
      <w:lvlText w:val="%9."/>
      <w:lvlJc w:val="left"/>
      <w:pPr>
        <w:tabs>
          <w:tab w:val="num" w:pos="6480"/>
        </w:tabs>
        <w:ind w:left="6480" w:hanging="360"/>
      </w:pPr>
    </w:lvl>
  </w:abstractNum>
  <w:abstractNum w:abstractNumId="4">
    <w:nsid w:val="7A793847"/>
    <w:multiLevelType w:val="hybridMultilevel"/>
    <w:tmpl w:val="3EBC2EFA"/>
    <w:lvl w:ilvl="0" w:tplc="1A267A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49"/>
    <w:rsid w:val="00001996"/>
    <w:rsid w:val="00011FD4"/>
    <w:rsid w:val="000150EE"/>
    <w:rsid w:val="000209C1"/>
    <w:rsid w:val="00021EE0"/>
    <w:rsid w:val="00061A47"/>
    <w:rsid w:val="00081968"/>
    <w:rsid w:val="0008360F"/>
    <w:rsid w:val="000B3FEE"/>
    <w:rsid w:val="000D2DF0"/>
    <w:rsid w:val="000E213C"/>
    <w:rsid w:val="00186422"/>
    <w:rsid w:val="001D4A29"/>
    <w:rsid w:val="001D5723"/>
    <w:rsid w:val="00207BC7"/>
    <w:rsid w:val="002D100F"/>
    <w:rsid w:val="002D3517"/>
    <w:rsid w:val="003C086E"/>
    <w:rsid w:val="0040081F"/>
    <w:rsid w:val="004718E3"/>
    <w:rsid w:val="00477550"/>
    <w:rsid w:val="00482B78"/>
    <w:rsid w:val="004908E5"/>
    <w:rsid w:val="00493F86"/>
    <w:rsid w:val="00507EB4"/>
    <w:rsid w:val="00555A55"/>
    <w:rsid w:val="005631E1"/>
    <w:rsid w:val="00566A75"/>
    <w:rsid w:val="005F73BA"/>
    <w:rsid w:val="00650803"/>
    <w:rsid w:val="00650D77"/>
    <w:rsid w:val="0067370D"/>
    <w:rsid w:val="00687A83"/>
    <w:rsid w:val="006B1B9E"/>
    <w:rsid w:val="006D3A75"/>
    <w:rsid w:val="006E34F0"/>
    <w:rsid w:val="007118BD"/>
    <w:rsid w:val="0071567A"/>
    <w:rsid w:val="00760C13"/>
    <w:rsid w:val="00791CBB"/>
    <w:rsid w:val="007A1973"/>
    <w:rsid w:val="007F71F0"/>
    <w:rsid w:val="00865756"/>
    <w:rsid w:val="0088128E"/>
    <w:rsid w:val="008C688D"/>
    <w:rsid w:val="008D175F"/>
    <w:rsid w:val="00930EFF"/>
    <w:rsid w:val="0094437E"/>
    <w:rsid w:val="009569E9"/>
    <w:rsid w:val="009A75F3"/>
    <w:rsid w:val="009B0AB7"/>
    <w:rsid w:val="009E4FCD"/>
    <w:rsid w:val="00A24D37"/>
    <w:rsid w:val="00A603B6"/>
    <w:rsid w:val="00A92D28"/>
    <w:rsid w:val="00AA097F"/>
    <w:rsid w:val="00AA4A20"/>
    <w:rsid w:val="00AD0809"/>
    <w:rsid w:val="00C96793"/>
    <w:rsid w:val="00CE3812"/>
    <w:rsid w:val="00D0492A"/>
    <w:rsid w:val="00D259BD"/>
    <w:rsid w:val="00D26049"/>
    <w:rsid w:val="00D41EF0"/>
    <w:rsid w:val="00DB26E0"/>
    <w:rsid w:val="00DD2716"/>
    <w:rsid w:val="00E43214"/>
    <w:rsid w:val="00EA1C80"/>
    <w:rsid w:val="00EE72ED"/>
    <w:rsid w:val="00F5414F"/>
    <w:rsid w:val="00F7188B"/>
    <w:rsid w:val="00FC1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3ED1E-E065-4653-B9E0-52FFBE8C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49"/>
    <w:pPr>
      <w:ind w:left="720"/>
      <w:contextualSpacing/>
    </w:pPr>
  </w:style>
  <w:style w:type="character" w:styleId="Hyperlink">
    <w:name w:val="Hyperlink"/>
    <w:basedOn w:val="DefaultParagraphFont"/>
    <w:uiPriority w:val="99"/>
    <w:unhideWhenUsed/>
    <w:rsid w:val="00482B78"/>
    <w:rPr>
      <w:color w:val="0563C1" w:themeColor="hyperlink"/>
      <w:u w:val="single"/>
    </w:rPr>
  </w:style>
  <w:style w:type="paragraph" w:styleId="NormalWeb">
    <w:name w:val="Normal (Web)"/>
    <w:basedOn w:val="Normal"/>
    <w:uiPriority w:val="99"/>
    <w:semiHidden/>
    <w:unhideWhenUsed/>
    <w:rsid w:val="009E4FC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920">
      <w:bodyDiv w:val="1"/>
      <w:marLeft w:val="0"/>
      <w:marRight w:val="0"/>
      <w:marTop w:val="0"/>
      <w:marBottom w:val="0"/>
      <w:divBdr>
        <w:top w:val="none" w:sz="0" w:space="0" w:color="auto"/>
        <w:left w:val="none" w:sz="0" w:space="0" w:color="auto"/>
        <w:bottom w:val="none" w:sz="0" w:space="0" w:color="auto"/>
        <w:right w:val="none" w:sz="0" w:space="0" w:color="auto"/>
      </w:divBdr>
    </w:div>
    <w:div w:id="8854784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68">
          <w:marLeft w:val="0"/>
          <w:marRight w:val="360"/>
          <w:marTop w:val="200"/>
          <w:marBottom w:val="0"/>
          <w:divBdr>
            <w:top w:val="none" w:sz="0" w:space="0" w:color="auto"/>
            <w:left w:val="none" w:sz="0" w:space="0" w:color="auto"/>
            <w:bottom w:val="none" w:sz="0" w:space="0" w:color="auto"/>
            <w:right w:val="none" w:sz="0" w:space="0" w:color="auto"/>
          </w:divBdr>
        </w:div>
        <w:div w:id="1410153095">
          <w:marLeft w:val="0"/>
          <w:marRight w:val="1800"/>
          <w:marTop w:val="100"/>
          <w:marBottom w:val="0"/>
          <w:divBdr>
            <w:top w:val="none" w:sz="0" w:space="0" w:color="auto"/>
            <w:left w:val="none" w:sz="0" w:space="0" w:color="auto"/>
            <w:bottom w:val="none" w:sz="0" w:space="0" w:color="auto"/>
            <w:right w:val="none" w:sz="0" w:space="0" w:color="auto"/>
          </w:divBdr>
        </w:div>
        <w:div w:id="803237915">
          <w:marLeft w:val="0"/>
          <w:marRight w:val="1800"/>
          <w:marTop w:val="100"/>
          <w:marBottom w:val="0"/>
          <w:divBdr>
            <w:top w:val="none" w:sz="0" w:space="0" w:color="auto"/>
            <w:left w:val="none" w:sz="0" w:space="0" w:color="auto"/>
            <w:bottom w:val="none" w:sz="0" w:space="0" w:color="auto"/>
            <w:right w:val="none" w:sz="0" w:space="0" w:color="auto"/>
          </w:divBdr>
        </w:div>
        <w:div w:id="585647119">
          <w:marLeft w:val="0"/>
          <w:marRight w:val="1800"/>
          <w:marTop w:val="100"/>
          <w:marBottom w:val="0"/>
          <w:divBdr>
            <w:top w:val="none" w:sz="0" w:space="0" w:color="auto"/>
            <w:left w:val="none" w:sz="0" w:space="0" w:color="auto"/>
            <w:bottom w:val="none" w:sz="0" w:space="0" w:color="auto"/>
            <w:right w:val="none" w:sz="0" w:space="0" w:color="auto"/>
          </w:divBdr>
        </w:div>
        <w:div w:id="109861658">
          <w:marLeft w:val="0"/>
          <w:marRight w:val="1800"/>
          <w:marTop w:val="100"/>
          <w:marBottom w:val="0"/>
          <w:divBdr>
            <w:top w:val="none" w:sz="0" w:space="0" w:color="auto"/>
            <w:left w:val="none" w:sz="0" w:space="0" w:color="auto"/>
            <w:bottom w:val="none" w:sz="0" w:space="0" w:color="auto"/>
            <w:right w:val="none" w:sz="0" w:space="0" w:color="auto"/>
          </w:divBdr>
        </w:div>
        <w:div w:id="1203982295">
          <w:marLeft w:val="0"/>
          <w:marRight w:val="1800"/>
          <w:marTop w:val="100"/>
          <w:marBottom w:val="0"/>
          <w:divBdr>
            <w:top w:val="none" w:sz="0" w:space="0" w:color="auto"/>
            <w:left w:val="none" w:sz="0" w:space="0" w:color="auto"/>
            <w:bottom w:val="none" w:sz="0" w:space="0" w:color="auto"/>
            <w:right w:val="none" w:sz="0" w:space="0" w:color="auto"/>
          </w:divBdr>
        </w:div>
        <w:div w:id="482502340">
          <w:marLeft w:val="0"/>
          <w:marRight w:val="360"/>
          <w:marTop w:val="200"/>
          <w:marBottom w:val="0"/>
          <w:divBdr>
            <w:top w:val="none" w:sz="0" w:space="0" w:color="auto"/>
            <w:left w:val="none" w:sz="0" w:space="0" w:color="auto"/>
            <w:bottom w:val="none" w:sz="0" w:space="0" w:color="auto"/>
            <w:right w:val="none" w:sz="0" w:space="0" w:color="auto"/>
          </w:divBdr>
        </w:div>
      </w:divsChild>
    </w:div>
    <w:div w:id="518815467">
      <w:bodyDiv w:val="1"/>
      <w:marLeft w:val="0"/>
      <w:marRight w:val="0"/>
      <w:marTop w:val="0"/>
      <w:marBottom w:val="0"/>
      <w:divBdr>
        <w:top w:val="none" w:sz="0" w:space="0" w:color="auto"/>
        <w:left w:val="none" w:sz="0" w:space="0" w:color="auto"/>
        <w:bottom w:val="none" w:sz="0" w:space="0" w:color="auto"/>
        <w:right w:val="none" w:sz="0" w:space="0" w:color="auto"/>
      </w:divBdr>
      <w:divsChild>
        <w:div w:id="690952819">
          <w:marLeft w:val="0"/>
          <w:marRight w:val="806"/>
          <w:marTop w:val="120"/>
          <w:marBottom w:val="240"/>
          <w:divBdr>
            <w:top w:val="none" w:sz="0" w:space="0" w:color="auto"/>
            <w:left w:val="none" w:sz="0" w:space="0" w:color="auto"/>
            <w:bottom w:val="none" w:sz="0" w:space="0" w:color="auto"/>
            <w:right w:val="none" w:sz="0" w:space="0" w:color="auto"/>
          </w:divBdr>
        </w:div>
        <w:div w:id="140971834">
          <w:marLeft w:val="0"/>
          <w:marRight w:val="1800"/>
          <w:marTop w:val="120"/>
          <w:marBottom w:val="240"/>
          <w:divBdr>
            <w:top w:val="none" w:sz="0" w:space="0" w:color="auto"/>
            <w:left w:val="none" w:sz="0" w:space="0" w:color="auto"/>
            <w:bottom w:val="none" w:sz="0" w:space="0" w:color="auto"/>
            <w:right w:val="none" w:sz="0" w:space="0" w:color="auto"/>
          </w:divBdr>
        </w:div>
        <w:div w:id="920986469">
          <w:marLeft w:val="0"/>
          <w:marRight w:val="1800"/>
          <w:marTop w:val="120"/>
          <w:marBottom w:val="240"/>
          <w:divBdr>
            <w:top w:val="none" w:sz="0" w:space="0" w:color="auto"/>
            <w:left w:val="none" w:sz="0" w:space="0" w:color="auto"/>
            <w:bottom w:val="none" w:sz="0" w:space="0" w:color="auto"/>
            <w:right w:val="none" w:sz="0" w:space="0" w:color="auto"/>
          </w:divBdr>
        </w:div>
        <w:div w:id="1689795021">
          <w:marLeft w:val="0"/>
          <w:marRight w:val="806"/>
          <w:marTop w:val="120"/>
          <w:marBottom w:val="240"/>
          <w:divBdr>
            <w:top w:val="none" w:sz="0" w:space="0" w:color="auto"/>
            <w:left w:val="none" w:sz="0" w:space="0" w:color="auto"/>
            <w:bottom w:val="none" w:sz="0" w:space="0" w:color="auto"/>
            <w:right w:val="none" w:sz="0" w:space="0" w:color="auto"/>
          </w:divBdr>
        </w:div>
        <w:div w:id="814107234">
          <w:marLeft w:val="0"/>
          <w:marRight w:val="1800"/>
          <w:marTop w:val="120"/>
          <w:marBottom w:val="240"/>
          <w:divBdr>
            <w:top w:val="none" w:sz="0" w:space="0" w:color="auto"/>
            <w:left w:val="none" w:sz="0" w:space="0" w:color="auto"/>
            <w:bottom w:val="none" w:sz="0" w:space="0" w:color="auto"/>
            <w:right w:val="none" w:sz="0" w:space="0" w:color="auto"/>
          </w:divBdr>
        </w:div>
      </w:divsChild>
    </w:div>
    <w:div w:id="832112329">
      <w:bodyDiv w:val="1"/>
      <w:marLeft w:val="0"/>
      <w:marRight w:val="0"/>
      <w:marTop w:val="0"/>
      <w:marBottom w:val="0"/>
      <w:divBdr>
        <w:top w:val="none" w:sz="0" w:space="0" w:color="auto"/>
        <w:left w:val="none" w:sz="0" w:space="0" w:color="auto"/>
        <w:bottom w:val="none" w:sz="0" w:space="0" w:color="auto"/>
        <w:right w:val="none" w:sz="0" w:space="0" w:color="auto"/>
      </w:divBdr>
    </w:div>
    <w:div w:id="1795444163">
      <w:bodyDiv w:val="1"/>
      <w:marLeft w:val="0"/>
      <w:marRight w:val="0"/>
      <w:marTop w:val="0"/>
      <w:marBottom w:val="0"/>
      <w:divBdr>
        <w:top w:val="none" w:sz="0" w:space="0" w:color="auto"/>
        <w:left w:val="none" w:sz="0" w:space="0" w:color="auto"/>
        <w:bottom w:val="none" w:sz="0" w:space="0" w:color="auto"/>
        <w:right w:val="none" w:sz="0" w:space="0" w:color="auto"/>
      </w:divBdr>
      <w:divsChild>
        <w:div w:id="949823540">
          <w:marLeft w:val="0"/>
          <w:marRight w:val="180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Bosayna</dc:creator>
  <cp:keywords/>
  <dc:description/>
  <cp:lastModifiedBy>ASUS</cp:lastModifiedBy>
  <cp:revision>29</cp:revision>
  <dcterms:created xsi:type="dcterms:W3CDTF">2017-11-23T17:06:00Z</dcterms:created>
  <dcterms:modified xsi:type="dcterms:W3CDTF">2017-11-25T14:33:00Z</dcterms:modified>
</cp:coreProperties>
</file>