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DBE78" w14:textId="0BF28813" w:rsidR="00F77D8D" w:rsidRPr="00F77D8D" w:rsidRDefault="0091337D" w:rsidP="00F77D8D">
      <w:pPr>
        <w:bidi w:val="0"/>
        <w:spacing w:after="0" w:line="240" w:lineRule="auto"/>
        <w:jc w:val="center"/>
        <w:rPr>
          <w:rFonts w:ascii="Times New Roman" w:hAnsi="Times New Roman" w:cs="Simplified Arabic"/>
          <w:b/>
          <w:bCs/>
          <w:sz w:val="28"/>
          <w:szCs w:val="28"/>
        </w:rPr>
      </w:pPr>
      <w:bookmarkStart w:id="0" w:name="_GoBack"/>
      <w:bookmarkEnd w:id="0"/>
      <w:r>
        <w:rPr>
          <w:rFonts w:ascii="Times New Roman" w:hAnsi="Times New Roman" w:cs="Simplified Arabic"/>
          <w:b/>
          <w:bCs/>
          <w:sz w:val="28"/>
          <w:szCs w:val="28"/>
        </w:rPr>
        <w:t xml:space="preserve"> </w:t>
      </w:r>
      <w:r w:rsidR="009A4AB9">
        <w:rPr>
          <w:rFonts w:ascii="Times New Roman" w:hAnsi="Times New Roman" w:cs="Simplified Arabic"/>
          <w:b/>
          <w:bCs/>
          <w:sz w:val="28"/>
          <w:szCs w:val="28"/>
        </w:rPr>
        <w:t xml:space="preserve">The impact of </w:t>
      </w:r>
      <w:r w:rsidR="00F77D8D" w:rsidRPr="00F77D8D">
        <w:rPr>
          <w:rFonts w:ascii="Times New Roman" w:hAnsi="Times New Roman" w:cs="Simplified Arabic"/>
          <w:b/>
          <w:bCs/>
          <w:sz w:val="28"/>
          <w:szCs w:val="28"/>
        </w:rPr>
        <w:t xml:space="preserve">Board Characteristics </w:t>
      </w:r>
      <w:r w:rsidR="009A4AB9">
        <w:rPr>
          <w:rFonts w:ascii="Times New Roman" w:hAnsi="Times New Roman" w:cs="Simplified Arabic"/>
          <w:b/>
          <w:bCs/>
          <w:noProof/>
          <w:sz w:val="28"/>
          <w:szCs w:val="28"/>
        </w:rPr>
        <w:t>on the level of</w:t>
      </w:r>
      <w:r w:rsidR="00F77D8D" w:rsidRPr="00F77D8D">
        <w:rPr>
          <w:rFonts w:ascii="Times New Roman" w:hAnsi="Times New Roman" w:cs="Simplified Arabic"/>
          <w:b/>
          <w:bCs/>
          <w:sz w:val="28"/>
          <w:szCs w:val="28"/>
        </w:rPr>
        <w:t xml:space="preserve"> Voluntary Disclosure: Evidence from Palestinian listed companies </w:t>
      </w:r>
    </w:p>
    <w:p w14:paraId="3651094A" w14:textId="77777777" w:rsidR="00DC79EB" w:rsidRPr="009178BE" w:rsidRDefault="00DC79EB" w:rsidP="009178BE">
      <w:pPr>
        <w:rPr>
          <w:sz w:val="28"/>
          <w:szCs w:val="28"/>
          <w:rtl/>
        </w:rPr>
      </w:pPr>
    </w:p>
    <w:p w14:paraId="5DDE33EC" w14:textId="01B62B96" w:rsidR="00F77D8D" w:rsidRPr="009178BE" w:rsidRDefault="00F77D8D" w:rsidP="00F77D8D">
      <w:pPr>
        <w:bidi w:val="0"/>
        <w:spacing w:after="0" w:line="240" w:lineRule="auto"/>
        <w:contextualSpacing/>
        <w:jc w:val="center"/>
        <w:rPr>
          <w:rFonts w:ascii="Times New Roman" w:hAnsi="Times New Roman" w:cs="Times New Roman"/>
          <w:bCs/>
          <w:color w:val="FF0000"/>
          <w:sz w:val="18"/>
          <w:szCs w:val="18"/>
        </w:rPr>
      </w:pPr>
      <w:proofErr w:type="spellStart"/>
      <w:r>
        <w:rPr>
          <w:rFonts w:ascii="Times New Roman" w:hAnsi="Times New Roman" w:cs="Times New Roman"/>
          <w:b/>
          <w:sz w:val="18"/>
          <w:szCs w:val="18"/>
        </w:rPr>
        <w:t>Raed</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Abdelhaq</w:t>
      </w:r>
      <w:proofErr w:type="spellEnd"/>
      <w:r w:rsidRPr="00EA4357">
        <w:rPr>
          <w:rFonts w:ascii="Times New Roman" w:hAnsi="Times New Roman" w:cs="Times New Roman"/>
          <w:b/>
          <w:sz w:val="18"/>
          <w:szCs w:val="18"/>
          <w:lang w:val="de-DE"/>
        </w:rPr>
        <w:t xml:space="preserve">  </w:t>
      </w:r>
      <w:r w:rsidR="009A4AB9">
        <w:rPr>
          <w:rFonts w:ascii="Times New Roman" w:hAnsi="Times New Roman" w:cs="Times New Roman"/>
          <w:b/>
          <w:sz w:val="18"/>
          <w:szCs w:val="18"/>
          <w:lang w:val="de-DE"/>
        </w:rPr>
        <w:t xml:space="preserve"> Alad</w:t>
      </w:r>
      <w:r w:rsidR="0091337D">
        <w:rPr>
          <w:rFonts w:ascii="Times New Roman" w:hAnsi="Times New Roman" w:cs="Times New Roman"/>
          <w:b/>
          <w:sz w:val="18"/>
          <w:szCs w:val="18"/>
          <w:lang w:val="de-DE"/>
        </w:rPr>
        <w:t>d</w:t>
      </w:r>
      <w:r w:rsidR="009A4AB9">
        <w:rPr>
          <w:rFonts w:ascii="Times New Roman" w:hAnsi="Times New Roman" w:cs="Times New Roman"/>
          <w:b/>
          <w:sz w:val="18"/>
          <w:szCs w:val="18"/>
          <w:lang w:val="de-DE"/>
        </w:rPr>
        <w:t xml:space="preserve">in Dwekat </w:t>
      </w:r>
      <w:r w:rsidR="009A4AB9">
        <w:rPr>
          <w:rFonts w:ascii="Times New Roman" w:eastAsia="Times New Roman" w:hAnsi="Times New Roman" w:cs="Times New Roman"/>
          <w:sz w:val="18"/>
          <w:szCs w:val="18"/>
          <w:vertAlign w:val="superscript"/>
          <w:lang w:val="de-DE"/>
        </w:rPr>
        <w:t>2</w:t>
      </w:r>
      <w:r w:rsidR="009A4AB9">
        <w:rPr>
          <w:rFonts w:ascii="Times New Roman" w:hAnsi="Times New Roman" w:cs="Times New Roman"/>
          <w:b/>
          <w:sz w:val="18"/>
          <w:szCs w:val="18"/>
          <w:lang w:val="de-DE"/>
        </w:rPr>
        <w:t xml:space="preserve"> </w:t>
      </w:r>
      <w:r w:rsidRPr="00EA4357">
        <w:rPr>
          <w:rFonts w:ascii="Times New Roman" w:hAnsi="Times New Roman" w:cs="Times New Roman"/>
          <w:b/>
          <w:sz w:val="18"/>
          <w:szCs w:val="18"/>
          <w:rtl/>
          <w:lang w:val="de-DE"/>
        </w:rPr>
        <w:t>,</w:t>
      </w:r>
      <w:r>
        <w:rPr>
          <w:rFonts w:ascii="Times New Roman" w:hAnsi="Times New Roman" w:cs="Times New Roman"/>
          <w:b/>
          <w:sz w:val="18"/>
          <w:szCs w:val="18"/>
          <w:lang w:val="de-DE"/>
        </w:rPr>
        <w:t xml:space="preserve">Sameh Atout </w:t>
      </w:r>
      <w:r w:rsidR="009A4AB9">
        <w:rPr>
          <w:rFonts w:ascii="Times New Roman" w:eastAsia="Times New Roman" w:hAnsi="Times New Roman" w:cs="Times New Roman"/>
          <w:sz w:val="18"/>
          <w:szCs w:val="18"/>
          <w:vertAlign w:val="superscript"/>
          <w:lang w:val="de-DE"/>
        </w:rPr>
        <w:t>3</w:t>
      </w:r>
      <w:r w:rsidRPr="00EA4357">
        <w:rPr>
          <w:rFonts w:ascii="Times New Roman" w:eastAsia="Times New Roman" w:hAnsi="Times New Roman" w:cs="Times New Roman"/>
          <w:sz w:val="18"/>
          <w:szCs w:val="18"/>
          <w:vertAlign w:val="superscript"/>
          <w:lang w:val="de-DE"/>
        </w:rPr>
        <w:t xml:space="preserve"> </w:t>
      </w:r>
      <w:r>
        <w:rPr>
          <w:rFonts w:ascii="Times New Roman" w:hAnsi="Times New Roman" w:cs="Times New Roman"/>
          <w:b/>
          <w:sz w:val="18"/>
          <w:szCs w:val="18"/>
          <w:lang w:val="de-DE"/>
        </w:rPr>
        <w:t xml:space="preserve"> </w:t>
      </w:r>
      <w:r w:rsidRPr="000A5DB4">
        <w:rPr>
          <w:rFonts w:ascii="Times New Roman" w:hAnsi="Times New Roman" w:cs="Times New Roman"/>
          <w:b/>
          <w:sz w:val="18"/>
          <w:szCs w:val="18"/>
        </w:rPr>
        <w:t xml:space="preserve">and </w:t>
      </w:r>
      <w:r>
        <w:rPr>
          <w:rFonts w:ascii="Times New Roman" w:hAnsi="Times New Roman" w:cs="Times New Roman"/>
          <w:b/>
          <w:sz w:val="18"/>
          <w:szCs w:val="18"/>
          <w:lang w:val="de-DE"/>
        </w:rPr>
        <w:t>A</w:t>
      </w:r>
      <w:r w:rsidRPr="00EA4357">
        <w:rPr>
          <w:rFonts w:ascii="Times New Roman" w:hAnsi="Times New Roman" w:cs="Times New Roman"/>
          <w:b/>
          <w:sz w:val="18"/>
          <w:szCs w:val="18"/>
          <w:lang w:val="de-DE"/>
        </w:rPr>
        <w:t xml:space="preserve">bdulnaser I. Nour </w:t>
      </w:r>
      <w:r w:rsidR="009A4AB9">
        <w:rPr>
          <w:rFonts w:ascii="Times New Roman" w:eastAsia="Times New Roman" w:hAnsi="Times New Roman" w:cs="Times New Roman"/>
          <w:sz w:val="18"/>
          <w:szCs w:val="18"/>
          <w:vertAlign w:val="superscript"/>
        </w:rPr>
        <w:t>4</w:t>
      </w:r>
      <w:r w:rsidR="009D18B8" w:rsidRPr="009178BE">
        <w:rPr>
          <w:rFonts w:ascii="Times New Roman" w:hAnsi="Times New Roman" w:cs="Times New Roman"/>
          <w:bCs/>
          <w:color w:val="FF0000"/>
          <w:sz w:val="18"/>
          <w:szCs w:val="18"/>
        </w:rPr>
        <w:t>[</w:t>
      </w:r>
      <w:hyperlink r:id="rId5" w:tgtFrame="_blank" w:history="1">
        <w:r w:rsidR="009D18B8" w:rsidRPr="009178BE">
          <w:rPr>
            <w:rFonts w:ascii="Times New Roman" w:hAnsi="Times New Roman" w:cs="Times New Roman"/>
            <w:bCs/>
            <w:color w:val="FF0000"/>
            <w:sz w:val="18"/>
            <w:szCs w:val="18"/>
          </w:rPr>
          <w:t>https://orcid.org/0000-0001-8525-9799</w:t>
        </w:r>
      </w:hyperlink>
      <w:r w:rsidR="009D18B8" w:rsidRPr="009178BE">
        <w:rPr>
          <w:rFonts w:ascii="Times New Roman" w:hAnsi="Times New Roman" w:cs="Times New Roman"/>
          <w:bCs/>
          <w:color w:val="FF0000"/>
          <w:sz w:val="18"/>
          <w:szCs w:val="18"/>
        </w:rPr>
        <w:t>]</w:t>
      </w:r>
    </w:p>
    <w:p w14:paraId="726362C0" w14:textId="168C7BB2" w:rsidR="00F77D8D" w:rsidRPr="009178BE" w:rsidRDefault="00F77D8D" w:rsidP="009178BE">
      <w:pPr>
        <w:shd w:val="clear" w:color="auto" w:fill="FFFFFF"/>
        <w:spacing w:before="100" w:beforeAutospacing="1" w:after="0"/>
        <w:jc w:val="center"/>
        <w:rPr>
          <w:rFonts w:ascii="Times New Roman" w:hAnsi="Times New Roman" w:cs="Times New Roman"/>
          <w:color w:val="FF0000"/>
          <w:sz w:val="18"/>
          <w:szCs w:val="18"/>
        </w:rPr>
      </w:pPr>
      <w:r w:rsidRPr="009178BE">
        <w:rPr>
          <w:rFonts w:ascii="Times New Roman" w:eastAsia="Times New Roman" w:hAnsi="Times New Roman" w:cs="Times New Roman"/>
          <w:color w:val="FF0000"/>
          <w:sz w:val="18"/>
          <w:szCs w:val="18"/>
          <w:vertAlign w:val="superscript"/>
        </w:rPr>
        <w:t>1,2,3</w:t>
      </w:r>
      <w:r w:rsidR="009A4AB9" w:rsidRPr="009178BE">
        <w:rPr>
          <w:rFonts w:ascii="Times New Roman" w:eastAsia="Times New Roman" w:hAnsi="Times New Roman" w:cs="Times New Roman"/>
          <w:color w:val="FF0000"/>
          <w:sz w:val="18"/>
          <w:szCs w:val="18"/>
          <w:vertAlign w:val="superscript"/>
        </w:rPr>
        <w:t>,4</w:t>
      </w:r>
      <w:r w:rsidRPr="009178BE">
        <w:rPr>
          <w:rFonts w:ascii="Times New Roman" w:hAnsi="Times New Roman" w:cs="Times New Roman"/>
          <w:color w:val="FF0000"/>
          <w:sz w:val="18"/>
          <w:szCs w:val="18"/>
        </w:rPr>
        <w:t xml:space="preserve"> </w:t>
      </w:r>
      <w:r w:rsidR="009D18B8" w:rsidRPr="009178BE">
        <w:rPr>
          <w:rFonts w:ascii="Times New Roman" w:hAnsi="Times New Roman" w:cs="Times New Roman"/>
          <w:color w:val="FF0000"/>
          <w:sz w:val="18"/>
          <w:szCs w:val="18"/>
        </w:rPr>
        <w:t>Accounting department- Faculty of Economics and Social Sciences</w:t>
      </w:r>
      <w:r w:rsidR="009D18B8" w:rsidRPr="009178BE">
        <w:rPr>
          <w:rFonts w:ascii="Times New Roman" w:hAnsi="Times New Roman" w:cs="Times New Roman"/>
          <w:color w:val="FF0000"/>
          <w:sz w:val="18"/>
          <w:szCs w:val="18"/>
        </w:rPr>
        <w:br/>
        <w:t>An-</w:t>
      </w:r>
      <w:proofErr w:type="spellStart"/>
      <w:r w:rsidR="009D18B8" w:rsidRPr="009178BE">
        <w:rPr>
          <w:rFonts w:ascii="Times New Roman" w:hAnsi="Times New Roman" w:cs="Times New Roman"/>
          <w:color w:val="FF0000"/>
          <w:sz w:val="18"/>
          <w:szCs w:val="18"/>
        </w:rPr>
        <w:t>Najah</w:t>
      </w:r>
      <w:proofErr w:type="spellEnd"/>
      <w:r w:rsidR="009D18B8" w:rsidRPr="009178BE">
        <w:rPr>
          <w:rFonts w:ascii="Times New Roman" w:hAnsi="Times New Roman" w:cs="Times New Roman"/>
          <w:color w:val="FF0000"/>
          <w:sz w:val="18"/>
          <w:szCs w:val="18"/>
        </w:rPr>
        <w:t xml:space="preserve"> Nationa</w:t>
      </w:r>
      <w:r w:rsidR="009178BE" w:rsidRPr="009178BE">
        <w:rPr>
          <w:rFonts w:ascii="Times New Roman" w:hAnsi="Times New Roman" w:cs="Times New Roman"/>
          <w:color w:val="FF0000"/>
          <w:sz w:val="18"/>
          <w:szCs w:val="18"/>
        </w:rPr>
        <w:t>l University,</w:t>
      </w:r>
      <w:r w:rsidR="009178BE" w:rsidRPr="009178BE">
        <w:rPr>
          <w:rFonts w:ascii="Times New Roman" w:hAnsi="Times New Roman" w:cs="Times New Roman"/>
          <w:color w:val="FF0000"/>
          <w:sz w:val="18"/>
          <w:szCs w:val="18"/>
        </w:rPr>
        <w:br/>
        <w:t>Nablus, Palestine</w:t>
      </w:r>
    </w:p>
    <w:p w14:paraId="69D04B58" w14:textId="526A2EFD" w:rsidR="00F77D8D" w:rsidRPr="00EA4357" w:rsidRDefault="00F77D8D" w:rsidP="00F77D8D">
      <w:pPr>
        <w:bidi w:val="0"/>
        <w:spacing w:after="0" w:line="240" w:lineRule="auto"/>
        <w:contextualSpacing/>
        <w:jc w:val="center"/>
        <w:rPr>
          <w:rFonts w:ascii="Times New Roman" w:eastAsia="Times New Roman" w:hAnsi="Times New Roman" w:cs="Times New Roman"/>
          <w:sz w:val="18"/>
          <w:szCs w:val="18"/>
          <w:lang w:bidi="ar-JO"/>
        </w:rPr>
      </w:pPr>
      <w:r w:rsidRPr="00EA4357">
        <w:rPr>
          <w:rFonts w:ascii="Times New Roman" w:eastAsia="Times New Roman" w:hAnsi="Times New Roman" w:cs="Times New Roman"/>
          <w:sz w:val="18"/>
          <w:szCs w:val="18"/>
          <w:vertAlign w:val="superscript"/>
        </w:rPr>
        <w:t xml:space="preserve">1 </w:t>
      </w:r>
      <w:hyperlink r:id="rId6" w:history="1">
        <w:r w:rsidR="0091337D" w:rsidRPr="0091337D">
          <w:rPr>
            <w:rStyle w:val="Hyperlink"/>
            <w:rFonts w:ascii="Times New Roman" w:hAnsi="Times New Roman" w:cs="Times New Roman"/>
            <w:sz w:val="18"/>
            <w:szCs w:val="18"/>
            <w:u w:val="none"/>
          </w:rPr>
          <w:t>raed.abdelhaq@hotmail.com</w:t>
        </w:r>
      </w:hyperlink>
      <w:r w:rsidR="009A4AB9" w:rsidRPr="0091337D">
        <w:rPr>
          <w:rFonts w:ascii="Times New Roman" w:hAnsi="Times New Roman" w:cs="Times New Roman"/>
          <w:sz w:val="18"/>
          <w:szCs w:val="18"/>
        </w:rPr>
        <w:t>,</w:t>
      </w:r>
      <w:r w:rsidR="0091337D" w:rsidRPr="0091337D">
        <w:rPr>
          <w:rFonts w:ascii="Times New Roman" w:hAnsi="Times New Roman" w:cs="Times New Roman"/>
          <w:sz w:val="18"/>
          <w:szCs w:val="18"/>
        </w:rPr>
        <w:t xml:space="preserve"> </w:t>
      </w:r>
      <w:hyperlink r:id="rId7" w:history="1">
        <w:r w:rsidR="0091337D" w:rsidRPr="0091337D">
          <w:rPr>
            <w:rStyle w:val="Hyperlink"/>
            <w:rFonts w:ascii="Times New Roman" w:eastAsia="Times New Roman" w:hAnsi="Times New Roman" w:cs="Times New Roman"/>
            <w:sz w:val="18"/>
            <w:szCs w:val="18"/>
            <w:u w:val="none"/>
            <w:vertAlign w:val="superscript"/>
            <w:lang w:val="de-DE"/>
          </w:rPr>
          <w:t>2</w:t>
        </w:r>
        <w:r w:rsidR="0091337D" w:rsidRPr="0091337D">
          <w:rPr>
            <w:rStyle w:val="Hyperlink"/>
            <w:rFonts w:ascii="Times New Roman" w:hAnsi="Times New Roman" w:cs="Times New Roman"/>
            <w:sz w:val="18"/>
            <w:szCs w:val="18"/>
            <w:u w:val="none"/>
          </w:rPr>
          <w:t>aladdin.dwekat@najah.edu</w:t>
        </w:r>
      </w:hyperlink>
      <w:r w:rsidR="0091337D">
        <w:rPr>
          <w:rFonts w:ascii="Times New Roman" w:hAnsi="Times New Roman" w:cs="Times New Roman"/>
          <w:sz w:val="18"/>
          <w:szCs w:val="18"/>
        </w:rPr>
        <w:t xml:space="preserve"> </w:t>
      </w:r>
    </w:p>
    <w:p w14:paraId="76E768E0" w14:textId="77777777" w:rsidR="00F77D8D" w:rsidRPr="00EA4357" w:rsidRDefault="00F77D8D" w:rsidP="00F77D8D">
      <w:pPr>
        <w:autoSpaceDE w:val="0"/>
        <w:autoSpaceDN w:val="0"/>
        <w:bidi w:val="0"/>
        <w:adjustRightInd w:val="0"/>
        <w:spacing w:after="0" w:line="240" w:lineRule="auto"/>
        <w:jc w:val="center"/>
        <w:rPr>
          <w:rFonts w:ascii="Times New Roman" w:hAnsi="Times New Roman" w:cs="Times New Roman"/>
          <w:sz w:val="18"/>
          <w:szCs w:val="18"/>
        </w:rPr>
      </w:pPr>
    </w:p>
    <w:p w14:paraId="26AF4785" w14:textId="75F5C553" w:rsidR="00F77D8D" w:rsidRPr="00EA4357" w:rsidRDefault="009A4AB9" w:rsidP="00F77D8D">
      <w:pPr>
        <w:bidi w:val="0"/>
        <w:spacing w:after="0" w:line="240" w:lineRule="auto"/>
        <w:jc w:val="center"/>
        <w:rPr>
          <w:rFonts w:ascii="Times New Roman" w:hAnsi="Times New Roman" w:cs="Times New Roman"/>
          <w:bCs/>
          <w:color w:val="000000"/>
          <w:sz w:val="18"/>
          <w:szCs w:val="18"/>
        </w:rPr>
      </w:pPr>
      <w:r>
        <w:rPr>
          <w:rFonts w:ascii="Times New Roman" w:eastAsia="Times New Roman" w:hAnsi="Times New Roman" w:cs="Times New Roman"/>
          <w:sz w:val="18"/>
          <w:szCs w:val="18"/>
          <w:vertAlign w:val="superscript"/>
        </w:rPr>
        <w:t>3</w:t>
      </w:r>
      <w:r w:rsidR="00F77D8D" w:rsidRPr="00EA4357">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vertAlign w:val="superscript"/>
        </w:rPr>
        <w:t>4</w:t>
      </w:r>
      <w:r w:rsidR="00F77D8D" w:rsidRPr="00EA4357">
        <w:rPr>
          <w:rFonts w:ascii="Times New Roman" w:eastAsia="Times New Roman" w:hAnsi="Times New Roman" w:cs="Times New Roman"/>
          <w:b/>
          <w:bCs/>
          <w:sz w:val="18"/>
          <w:szCs w:val="18"/>
        </w:rPr>
        <w:t xml:space="preserve"> </w:t>
      </w:r>
      <w:r w:rsidR="00F77D8D">
        <w:rPr>
          <w:rFonts w:ascii="Times New Roman" w:hAnsi="Times New Roman" w:cs="Times New Roman"/>
          <w:bCs/>
          <w:color w:val="4472C4"/>
          <w:sz w:val="18"/>
          <w:szCs w:val="18"/>
        </w:rPr>
        <w:t>sameh.atout</w:t>
      </w:r>
      <w:r w:rsidR="00F77D8D" w:rsidRPr="00EA4357">
        <w:rPr>
          <w:rFonts w:ascii="Times New Roman" w:hAnsi="Times New Roman" w:cs="Times New Roman"/>
          <w:color w:val="4472C4"/>
          <w:sz w:val="18"/>
          <w:szCs w:val="18"/>
        </w:rPr>
        <w:t>@najah.edu, a.nour@najah.edu</w:t>
      </w:r>
      <w:r w:rsidR="00F77D8D" w:rsidRPr="00EA4357">
        <w:rPr>
          <w:rFonts w:ascii="Times New Roman" w:hAnsi="Times New Roman" w:cs="Times New Roman"/>
          <w:bCs/>
          <w:color w:val="4472C4"/>
          <w:sz w:val="18"/>
          <w:szCs w:val="18"/>
        </w:rPr>
        <w:t xml:space="preserve"> </w:t>
      </w:r>
    </w:p>
    <w:p w14:paraId="2D5793C2" w14:textId="77777777" w:rsidR="00F77D8D" w:rsidRDefault="00F77D8D" w:rsidP="00F77D8D">
      <w:pPr>
        <w:jc w:val="center"/>
        <w:rPr>
          <w:sz w:val="28"/>
          <w:szCs w:val="28"/>
          <w:rtl/>
        </w:rPr>
      </w:pPr>
    </w:p>
    <w:p w14:paraId="13CC362C" w14:textId="77777777" w:rsidR="00F77D8D" w:rsidRDefault="00F77D8D" w:rsidP="00F77D8D">
      <w:pPr>
        <w:jc w:val="right"/>
        <w:rPr>
          <w:rFonts w:ascii="Times New Roman" w:hAnsi="Times New Roman" w:cs="Times New Roman"/>
          <w:b/>
          <w:color w:val="000000"/>
          <w:sz w:val="18"/>
          <w:szCs w:val="18"/>
        </w:rPr>
      </w:pPr>
      <w:r w:rsidRPr="00EA4357">
        <w:rPr>
          <w:rFonts w:ascii="Times New Roman" w:hAnsi="Times New Roman" w:cs="Times New Roman"/>
          <w:b/>
          <w:color w:val="000000"/>
          <w:sz w:val="18"/>
          <w:szCs w:val="18"/>
        </w:rPr>
        <w:t>Abstract</w:t>
      </w:r>
    </w:p>
    <w:p w14:paraId="1C46EE68" w14:textId="7143C4FA" w:rsidR="00F77D8D" w:rsidRPr="00F77D8D" w:rsidRDefault="00F77D8D" w:rsidP="00F77D8D">
      <w:pPr>
        <w:bidi w:val="0"/>
        <w:jc w:val="both"/>
        <w:rPr>
          <w:rFonts w:ascii="Times New Roman" w:hAnsi="Times New Roman" w:cs="Times New Roman"/>
          <w:bCs/>
          <w:color w:val="000000"/>
          <w:sz w:val="18"/>
          <w:szCs w:val="18"/>
        </w:rPr>
      </w:pPr>
      <w:r w:rsidRPr="00F77D8D">
        <w:rPr>
          <w:rFonts w:ascii="Times New Roman" w:hAnsi="Times New Roman" w:cs="Times New Roman"/>
          <w:bCs/>
          <w:color w:val="000000"/>
          <w:sz w:val="18"/>
          <w:szCs w:val="18"/>
        </w:rPr>
        <w:t>Th</w:t>
      </w:r>
      <w:r w:rsidR="00B45FA3">
        <w:rPr>
          <w:rFonts w:ascii="Times New Roman" w:hAnsi="Times New Roman" w:cs="Times New Roman"/>
          <w:bCs/>
          <w:color w:val="000000"/>
          <w:sz w:val="18"/>
          <w:szCs w:val="18"/>
        </w:rPr>
        <w:t>is study aim</w:t>
      </w:r>
      <w:r w:rsidRPr="00F77D8D">
        <w:rPr>
          <w:rFonts w:ascii="Times New Roman" w:hAnsi="Times New Roman" w:cs="Times New Roman"/>
          <w:bCs/>
          <w:color w:val="000000"/>
          <w:sz w:val="18"/>
          <w:szCs w:val="18"/>
        </w:rPr>
        <w:t xml:space="preserve">s to investigate the extent and nature of voluntary disclosure (VD) of the Palestinian companies listed on the Palestine Exchange (PEX). Furthermore, the impact of board characteristics on the level of </w:t>
      </w:r>
      <w:r w:rsidR="00EF3A82">
        <w:rPr>
          <w:rFonts w:ascii="Times New Roman" w:hAnsi="Times New Roman" w:cs="Times New Roman"/>
          <w:bCs/>
          <w:color w:val="000000"/>
          <w:sz w:val="18"/>
          <w:szCs w:val="18"/>
        </w:rPr>
        <w:t>voluntary disclosure</w:t>
      </w:r>
      <w:r w:rsidRPr="00F77D8D">
        <w:rPr>
          <w:rFonts w:ascii="Times New Roman" w:hAnsi="Times New Roman" w:cs="Times New Roman"/>
          <w:bCs/>
          <w:color w:val="000000"/>
          <w:sz w:val="18"/>
          <w:szCs w:val="18"/>
        </w:rPr>
        <w:t xml:space="preserve"> is examined. Data was collected from a sample of 45 companies</w:t>
      </w:r>
      <w:r w:rsidR="00B45FA3">
        <w:rPr>
          <w:rFonts w:ascii="Times New Roman" w:hAnsi="Times New Roman" w:cs="Times New Roman"/>
          <w:bCs/>
          <w:color w:val="000000"/>
          <w:sz w:val="18"/>
          <w:szCs w:val="18"/>
        </w:rPr>
        <w:t>’</w:t>
      </w:r>
      <w:r w:rsidRPr="00F77D8D">
        <w:rPr>
          <w:rFonts w:ascii="Times New Roman" w:hAnsi="Times New Roman" w:cs="Times New Roman"/>
          <w:bCs/>
          <w:color w:val="000000"/>
          <w:sz w:val="18"/>
          <w:szCs w:val="18"/>
        </w:rPr>
        <w:t xml:space="preserve"> annual reports -</w:t>
      </w:r>
      <w:r w:rsidR="00B45FA3">
        <w:rPr>
          <w:rFonts w:ascii="Times New Roman" w:hAnsi="Times New Roman" w:cs="Times New Roman"/>
          <w:bCs/>
          <w:color w:val="000000"/>
          <w:sz w:val="18"/>
          <w:szCs w:val="18"/>
        </w:rPr>
        <w:t>constituting 93.7% of Palestinian-listed companies- for</w:t>
      </w:r>
      <w:r w:rsidRPr="00F77D8D">
        <w:rPr>
          <w:rFonts w:ascii="Times New Roman" w:hAnsi="Times New Roman" w:cs="Times New Roman"/>
          <w:bCs/>
          <w:color w:val="000000"/>
          <w:sz w:val="18"/>
          <w:szCs w:val="18"/>
        </w:rPr>
        <w:t xml:space="preserve"> 2013-2017. In order to measure VD, a disclosure index including 55 items of voluntary information was constructed and applied. To achieve the </w:t>
      </w:r>
      <w:r w:rsidR="00B45FA3">
        <w:rPr>
          <w:rFonts w:ascii="Times New Roman" w:hAnsi="Times New Roman" w:cs="Times New Roman"/>
          <w:bCs/>
          <w:color w:val="000000"/>
          <w:sz w:val="18"/>
          <w:szCs w:val="18"/>
        </w:rPr>
        <w:t>study’s objectives</w:t>
      </w:r>
      <w:r w:rsidRPr="00F77D8D">
        <w:rPr>
          <w:rFonts w:ascii="Times New Roman" w:hAnsi="Times New Roman" w:cs="Times New Roman"/>
          <w:bCs/>
          <w:color w:val="000000"/>
          <w:sz w:val="18"/>
          <w:szCs w:val="18"/>
        </w:rPr>
        <w:t>,</w:t>
      </w:r>
      <w:r w:rsidR="003135C3">
        <w:rPr>
          <w:rFonts w:ascii="Times New Roman" w:hAnsi="Times New Roman" w:cs="Times New Roman"/>
          <w:bCs/>
          <w:color w:val="000000"/>
          <w:sz w:val="18"/>
          <w:szCs w:val="18"/>
        </w:rPr>
        <w:t xml:space="preserve"> fixed effect</w:t>
      </w:r>
      <w:r w:rsidRPr="00F77D8D">
        <w:rPr>
          <w:rFonts w:ascii="Times New Roman" w:hAnsi="Times New Roman" w:cs="Times New Roman"/>
          <w:bCs/>
          <w:color w:val="000000"/>
          <w:sz w:val="18"/>
          <w:szCs w:val="18"/>
        </w:rPr>
        <w:t xml:space="preserve"> multiple regression was used. The </w:t>
      </w:r>
      <w:r w:rsidR="00B45FA3">
        <w:rPr>
          <w:rFonts w:ascii="Times New Roman" w:hAnsi="Times New Roman" w:cs="Times New Roman"/>
          <w:bCs/>
          <w:color w:val="000000"/>
          <w:sz w:val="18"/>
          <w:szCs w:val="18"/>
        </w:rPr>
        <w:t>study results</w:t>
      </w:r>
      <w:r w:rsidRPr="00F77D8D">
        <w:rPr>
          <w:rFonts w:ascii="Times New Roman" w:hAnsi="Times New Roman" w:cs="Times New Roman"/>
          <w:bCs/>
          <w:color w:val="000000"/>
          <w:sz w:val="18"/>
          <w:szCs w:val="18"/>
        </w:rPr>
        <w:t xml:space="preserve"> reveal that, on average, a company discloses 56.31% of the items included in the disclosure index. In addition, a significant positive relationship between board </w:t>
      </w:r>
      <w:r w:rsidR="00EF3A82">
        <w:rPr>
          <w:rFonts w:ascii="Times New Roman" w:hAnsi="Times New Roman" w:cs="Times New Roman"/>
          <w:bCs/>
          <w:color w:val="000000"/>
          <w:sz w:val="18"/>
          <w:szCs w:val="18"/>
        </w:rPr>
        <w:t>size and the level of</w:t>
      </w:r>
      <w:r w:rsidRPr="00F77D8D">
        <w:rPr>
          <w:rFonts w:ascii="Times New Roman" w:hAnsi="Times New Roman" w:cs="Times New Roman"/>
          <w:bCs/>
          <w:color w:val="000000"/>
          <w:sz w:val="18"/>
          <w:szCs w:val="18"/>
        </w:rPr>
        <w:t xml:space="preserve"> </w:t>
      </w:r>
      <w:r w:rsidR="00EF3A82">
        <w:rPr>
          <w:rFonts w:ascii="Times New Roman" w:hAnsi="Times New Roman" w:cs="Times New Roman"/>
          <w:bCs/>
          <w:color w:val="000000"/>
          <w:sz w:val="18"/>
          <w:szCs w:val="18"/>
        </w:rPr>
        <w:t>voluntary disclosure</w:t>
      </w:r>
      <w:r w:rsidRPr="00F77D8D">
        <w:rPr>
          <w:rFonts w:ascii="Times New Roman" w:hAnsi="Times New Roman" w:cs="Times New Roman"/>
          <w:bCs/>
          <w:color w:val="000000"/>
          <w:sz w:val="18"/>
          <w:szCs w:val="18"/>
        </w:rPr>
        <w:t xml:space="preserve">. In contrast, there is a significant negative relationship between board </w:t>
      </w:r>
      <w:r w:rsidR="00EF3A82">
        <w:rPr>
          <w:rFonts w:ascii="Times New Roman" w:hAnsi="Times New Roman" w:cs="Times New Roman"/>
          <w:bCs/>
          <w:color w:val="000000"/>
          <w:sz w:val="18"/>
          <w:szCs w:val="18"/>
        </w:rPr>
        <w:t>gender diversity and the level of voluntary disclosure</w:t>
      </w:r>
      <w:r w:rsidRPr="00F77D8D">
        <w:rPr>
          <w:rFonts w:ascii="Times New Roman" w:hAnsi="Times New Roman" w:cs="Times New Roman"/>
          <w:bCs/>
          <w:color w:val="000000"/>
          <w:sz w:val="18"/>
          <w:szCs w:val="18"/>
        </w:rPr>
        <w:t>. Furthermore, board independence</w:t>
      </w:r>
      <w:r w:rsidR="00EF3A82">
        <w:rPr>
          <w:rFonts w:ascii="Times New Roman" w:hAnsi="Times New Roman" w:cs="Times New Roman"/>
          <w:bCs/>
          <w:color w:val="000000"/>
          <w:sz w:val="18"/>
          <w:szCs w:val="18"/>
        </w:rPr>
        <w:t xml:space="preserve"> was</w:t>
      </w:r>
      <w:r w:rsidRPr="00F77D8D">
        <w:rPr>
          <w:rFonts w:ascii="Times New Roman" w:hAnsi="Times New Roman" w:cs="Times New Roman"/>
          <w:bCs/>
          <w:color w:val="000000"/>
          <w:sz w:val="18"/>
          <w:szCs w:val="18"/>
        </w:rPr>
        <w:t xml:space="preserve"> found </w:t>
      </w:r>
      <w:r w:rsidR="00B45FA3">
        <w:rPr>
          <w:rFonts w:ascii="Times New Roman" w:hAnsi="Times New Roman" w:cs="Times New Roman"/>
          <w:bCs/>
          <w:color w:val="000000"/>
          <w:sz w:val="18"/>
          <w:szCs w:val="18"/>
        </w:rPr>
        <w:t>not to affect</w:t>
      </w:r>
      <w:r w:rsidRPr="00F77D8D">
        <w:rPr>
          <w:rFonts w:ascii="Times New Roman" w:hAnsi="Times New Roman" w:cs="Times New Roman"/>
          <w:bCs/>
          <w:color w:val="000000"/>
          <w:sz w:val="18"/>
          <w:szCs w:val="18"/>
        </w:rPr>
        <w:t xml:space="preserve"> </w:t>
      </w:r>
      <w:r w:rsidR="00EF3A82">
        <w:rPr>
          <w:rFonts w:ascii="Times New Roman" w:hAnsi="Times New Roman" w:cs="Times New Roman"/>
          <w:bCs/>
          <w:color w:val="000000"/>
          <w:sz w:val="18"/>
          <w:szCs w:val="18"/>
        </w:rPr>
        <w:t>the level of voluntary disclosure</w:t>
      </w:r>
      <w:r w:rsidRPr="00F77D8D">
        <w:rPr>
          <w:rFonts w:ascii="Times New Roman" w:hAnsi="Times New Roman" w:cs="Times New Roman"/>
          <w:bCs/>
          <w:color w:val="000000"/>
          <w:sz w:val="18"/>
          <w:szCs w:val="18"/>
        </w:rPr>
        <w:t>. The study recommends that policymakers and regulators are encouraged to establish an official Palestinian VDI that can be used to evaluate and compare voluntary practice and disclosure among Palestinian companies.</w:t>
      </w:r>
    </w:p>
    <w:p w14:paraId="6834DD00" w14:textId="63FEB404" w:rsidR="00F77D8D" w:rsidRDefault="00F77D8D" w:rsidP="00F77D8D">
      <w:pPr>
        <w:bidi w:val="0"/>
        <w:jc w:val="both"/>
        <w:rPr>
          <w:rFonts w:ascii="Times New Roman" w:hAnsi="Times New Roman" w:cs="Times New Roman"/>
          <w:bCs/>
          <w:color w:val="000000"/>
          <w:sz w:val="18"/>
          <w:szCs w:val="18"/>
        </w:rPr>
      </w:pPr>
      <w:r w:rsidRPr="003304E2">
        <w:rPr>
          <w:rFonts w:ascii="Times New Roman" w:hAnsi="Times New Roman" w:cs="Times New Roman"/>
          <w:b/>
          <w:color w:val="000000"/>
          <w:sz w:val="18"/>
          <w:szCs w:val="18"/>
        </w:rPr>
        <w:t>Keywords:</w:t>
      </w:r>
      <w:r w:rsidRPr="00F77D8D">
        <w:rPr>
          <w:rFonts w:ascii="Times New Roman" w:hAnsi="Times New Roman" w:cs="Times New Roman"/>
          <w:bCs/>
          <w:color w:val="000000"/>
          <w:sz w:val="18"/>
          <w:szCs w:val="18"/>
        </w:rPr>
        <w:t xml:space="preserve"> Voluntary disclosure, Board </w:t>
      </w:r>
      <w:r w:rsidR="009A4AB9" w:rsidRPr="00F77D8D">
        <w:rPr>
          <w:rFonts w:ascii="Times New Roman" w:hAnsi="Times New Roman" w:cs="Times New Roman"/>
          <w:bCs/>
          <w:color w:val="000000"/>
          <w:sz w:val="18"/>
          <w:szCs w:val="18"/>
        </w:rPr>
        <w:t>Characteristics</w:t>
      </w:r>
      <w:r w:rsidRPr="00F77D8D">
        <w:rPr>
          <w:rFonts w:ascii="Times New Roman" w:hAnsi="Times New Roman" w:cs="Times New Roman"/>
          <w:bCs/>
          <w:color w:val="000000"/>
          <w:sz w:val="18"/>
          <w:szCs w:val="18"/>
        </w:rPr>
        <w:t>, PEX.</w:t>
      </w:r>
    </w:p>
    <w:p w14:paraId="4F0F454E" w14:textId="77777777" w:rsidR="00F77D8D" w:rsidRDefault="00F77D8D" w:rsidP="00F77D8D">
      <w:pPr>
        <w:bidi w:val="0"/>
        <w:jc w:val="both"/>
        <w:rPr>
          <w:rFonts w:ascii="Times New Roman" w:hAnsi="Times New Roman" w:cs="Times New Roman"/>
          <w:b/>
          <w:color w:val="000000"/>
          <w:sz w:val="18"/>
          <w:szCs w:val="18"/>
        </w:rPr>
      </w:pPr>
      <w:r w:rsidRPr="00F77D8D">
        <w:rPr>
          <w:rFonts w:ascii="Times New Roman" w:hAnsi="Times New Roman" w:cs="Times New Roman"/>
          <w:b/>
          <w:color w:val="000000"/>
          <w:sz w:val="18"/>
          <w:szCs w:val="18"/>
        </w:rPr>
        <w:t>Introduction</w:t>
      </w:r>
    </w:p>
    <w:p w14:paraId="450DDCE3" w14:textId="3F747759" w:rsidR="00A02823" w:rsidRPr="00A02823" w:rsidRDefault="00A02823" w:rsidP="008D2D78">
      <w:pPr>
        <w:bidi w:val="0"/>
        <w:jc w:val="both"/>
        <w:rPr>
          <w:rFonts w:ascii="Times New Roman" w:hAnsi="Times New Roman" w:cs="Times New Roman"/>
          <w:bCs/>
          <w:color w:val="000000"/>
          <w:sz w:val="18"/>
          <w:szCs w:val="18"/>
          <w:lang w:val="en-GB"/>
        </w:rPr>
      </w:pPr>
      <w:r w:rsidRPr="00A02823">
        <w:rPr>
          <w:rFonts w:ascii="Times New Roman" w:hAnsi="Times New Roman" w:cs="Times New Roman"/>
          <w:bCs/>
          <w:color w:val="000000"/>
          <w:sz w:val="18"/>
          <w:szCs w:val="18"/>
          <w:lang w:val="en-GB"/>
        </w:rPr>
        <w:t>In today</w:t>
      </w:r>
      <w:r w:rsidR="00B45FA3">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s business environment, agency and asymmetric information problems remain significant concerns for companies. Various solutions have been proposed to mitigate these problems, with transparency through disclosure and board monitoring </w:t>
      </w:r>
      <w:r w:rsidR="008D2D78">
        <w:rPr>
          <w:rFonts w:ascii="Times New Roman" w:hAnsi="Times New Roman" w:cs="Times New Roman"/>
          <w:bCs/>
          <w:color w:val="000000"/>
          <w:sz w:val="18"/>
          <w:szCs w:val="18"/>
          <w:lang w:val="en-GB"/>
        </w:rPr>
        <w:t>[1]</w:t>
      </w:r>
      <w:r w:rsidRPr="00A02823">
        <w:rPr>
          <w:rFonts w:ascii="Times New Roman" w:hAnsi="Times New Roman" w:cs="Times New Roman"/>
          <w:bCs/>
          <w:color w:val="000000"/>
          <w:sz w:val="18"/>
          <w:szCs w:val="18"/>
          <w:lang w:val="en-GB"/>
        </w:rPr>
        <w:t xml:space="preserve">. Companies </w:t>
      </w:r>
      <w:r w:rsidR="00B45FA3">
        <w:rPr>
          <w:rFonts w:ascii="Times New Roman" w:hAnsi="Times New Roman" w:cs="Times New Roman"/>
          <w:bCs/>
          <w:color w:val="000000"/>
          <w:sz w:val="18"/>
          <w:szCs w:val="18"/>
          <w:lang w:val="en-GB"/>
        </w:rPr>
        <w:t xml:space="preserve">increasingly use voluntary disclosure to communicate with investors </w:t>
      </w:r>
      <w:r w:rsidR="008D2D78">
        <w:rPr>
          <w:rFonts w:ascii="Times New Roman" w:hAnsi="Times New Roman" w:cs="Times New Roman"/>
          <w:bCs/>
          <w:color w:val="000000"/>
          <w:sz w:val="18"/>
          <w:szCs w:val="18"/>
          <w:lang w:val="en-GB"/>
        </w:rPr>
        <w:t>[2]</w:t>
      </w:r>
      <w:r w:rsidR="00B45FA3">
        <w:rPr>
          <w:rFonts w:ascii="Times New Roman" w:hAnsi="Times New Roman" w:cs="Times New Roman"/>
          <w:bCs/>
          <w:color w:val="000000"/>
          <w:sz w:val="18"/>
          <w:szCs w:val="18"/>
          <w:lang w:val="en-GB"/>
        </w:rPr>
        <w:t xml:space="preserve"> and</w:t>
      </w:r>
      <w:r w:rsidRPr="00A02823">
        <w:rPr>
          <w:rFonts w:ascii="Times New Roman" w:hAnsi="Times New Roman" w:cs="Times New Roman"/>
          <w:bCs/>
          <w:color w:val="000000"/>
          <w:sz w:val="18"/>
          <w:szCs w:val="18"/>
          <w:lang w:val="en-GB"/>
        </w:rPr>
        <w:t xml:space="preserve"> comply with legal and regulatory requirements</w:t>
      </w:r>
      <w:r w:rsidR="008D2D78">
        <w:rPr>
          <w:rFonts w:ascii="Times New Roman" w:hAnsi="Times New Roman" w:cs="Times New Roman"/>
          <w:bCs/>
          <w:color w:val="000000"/>
          <w:sz w:val="18"/>
          <w:szCs w:val="18"/>
          <w:lang w:val="en-GB"/>
        </w:rPr>
        <w:t xml:space="preserve"> [3]</w:t>
      </w:r>
      <w:r w:rsidRPr="00A02823">
        <w:rPr>
          <w:rFonts w:ascii="Times New Roman" w:hAnsi="Times New Roman" w:cs="Times New Roman"/>
          <w:bCs/>
          <w:color w:val="000000"/>
          <w:sz w:val="18"/>
          <w:szCs w:val="18"/>
          <w:lang w:val="en-GB"/>
        </w:rPr>
        <w:t>. In Palestine, legal and regulatory reports and disclosures for public companies listed on the Palestine Stock Exchange (PEX) are expressed through Securities Law No. 12 of 2004, Capital Market Authority Law No. 13 of 2004, and the disclosure System approved by the Palestine Securities Exchange and the Capital Market Authority in 2006. The Code of Corporate Governance in Palestine (2009) requires Palestinian</w:t>
      </w:r>
      <w:r w:rsidR="00B45FA3">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listed companies to include specific information, such as Board composition and committees, social responsibility policies, and safety regulations in their annual reports.</w:t>
      </w:r>
    </w:p>
    <w:p w14:paraId="3FDFBDCB" w14:textId="3E0C7891" w:rsidR="00A02823" w:rsidRPr="00A02823" w:rsidRDefault="00A02823" w:rsidP="00BE27EB">
      <w:pPr>
        <w:bidi w:val="0"/>
        <w:jc w:val="both"/>
        <w:rPr>
          <w:rFonts w:ascii="Times New Roman" w:hAnsi="Times New Roman" w:cs="Times New Roman"/>
          <w:bCs/>
          <w:color w:val="000000"/>
          <w:sz w:val="18"/>
          <w:szCs w:val="18"/>
          <w:lang w:val="en-GB"/>
        </w:rPr>
      </w:pPr>
      <w:r w:rsidRPr="00A02823">
        <w:rPr>
          <w:rFonts w:ascii="Times New Roman" w:hAnsi="Times New Roman" w:cs="Times New Roman"/>
          <w:bCs/>
          <w:color w:val="000000"/>
          <w:sz w:val="18"/>
          <w:szCs w:val="18"/>
          <w:lang w:val="en-GB"/>
        </w:rPr>
        <w:t>Voluntary disclosure is becoming increasingly important in today</w:t>
      </w:r>
      <w:r w:rsidR="00B45FA3">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s capital market. Companies disclose additional information for various reasons, including enhancing their image and reputation </w:t>
      </w:r>
      <w:r w:rsidR="008D2D78">
        <w:rPr>
          <w:rFonts w:ascii="Times New Roman" w:hAnsi="Times New Roman" w:cs="Times New Roman"/>
          <w:bCs/>
          <w:color w:val="000000"/>
          <w:sz w:val="18"/>
          <w:szCs w:val="18"/>
          <w:lang w:val="en-GB"/>
        </w:rPr>
        <w:t>[4,</w:t>
      </w:r>
      <w:r w:rsidR="00016EC9">
        <w:rPr>
          <w:rFonts w:ascii="Times New Roman" w:hAnsi="Times New Roman" w:cs="Times New Roman"/>
          <w:bCs/>
          <w:color w:val="000000"/>
          <w:sz w:val="18"/>
          <w:szCs w:val="18"/>
          <w:lang w:val="en-GB"/>
        </w:rPr>
        <w:t>5,</w:t>
      </w:r>
      <w:r w:rsidR="008D2D78">
        <w:rPr>
          <w:rFonts w:ascii="Times New Roman" w:hAnsi="Times New Roman" w:cs="Times New Roman"/>
          <w:bCs/>
          <w:color w:val="000000"/>
          <w:sz w:val="18"/>
          <w:szCs w:val="18"/>
          <w:lang w:val="en-GB"/>
        </w:rPr>
        <w:t>6]</w:t>
      </w:r>
      <w:r w:rsidRPr="00A02823">
        <w:rPr>
          <w:rFonts w:ascii="Times New Roman" w:hAnsi="Times New Roman" w:cs="Times New Roman"/>
          <w:bCs/>
          <w:color w:val="000000"/>
          <w:sz w:val="18"/>
          <w:szCs w:val="18"/>
          <w:lang w:val="en-GB"/>
        </w:rPr>
        <w:t>, r</w:t>
      </w:r>
      <w:r w:rsidR="008D2D78">
        <w:rPr>
          <w:rFonts w:ascii="Times New Roman" w:hAnsi="Times New Roman" w:cs="Times New Roman"/>
          <w:bCs/>
          <w:color w:val="000000"/>
          <w:sz w:val="18"/>
          <w:szCs w:val="18"/>
          <w:lang w:val="en-GB"/>
        </w:rPr>
        <w:t>aising capital at a lower cost [7</w:t>
      </w:r>
      <w:r w:rsidR="00FE54A7">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w:t>
      </w:r>
      <w:r w:rsidR="00FE54A7">
        <w:rPr>
          <w:rFonts w:ascii="Times New Roman" w:hAnsi="Times New Roman" w:cs="Times New Roman"/>
          <w:bCs/>
          <w:color w:val="000000"/>
          <w:sz w:val="18"/>
          <w:szCs w:val="18"/>
          <w:lang w:val="en-GB"/>
        </w:rPr>
        <w:t>8]</w:t>
      </w:r>
      <w:r w:rsidRPr="00A02823">
        <w:rPr>
          <w:rFonts w:ascii="Times New Roman" w:hAnsi="Times New Roman" w:cs="Times New Roman"/>
          <w:bCs/>
          <w:color w:val="000000"/>
          <w:sz w:val="18"/>
          <w:szCs w:val="18"/>
          <w:lang w:val="en-GB"/>
        </w:rPr>
        <w:t>, improving relationships with customers</w:t>
      </w:r>
      <w:r w:rsidR="00FE54A7">
        <w:rPr>
          <w:rFonts w:ascii="Times New Roman" w:hAnsi="Times New Roman" w:cs="Times New Roman"/>
          <w:bCs/>
          <w:color w:val="000000"/>
          <w:sz w:val="18"/>
          <w:szCs w:val="18"/>
          <w:lang w:val="en-GB"/>
        </w:rPr>
        <w:t>, communities, and governments [9]</w:t>
      </w:r>
      <w:r w:rsidRPr="00A02823">
        <w:rPr>
          <w:rFonts w:ascii="Times New Roman" w:hAnsi="Times New Roman" w:cs="Times New Roman"/>
          <w:bCs/>
          <w:color w:val="000000"/>
          <w:sz w:val="18"/>
          <w:szCs w:val="18"/>
          <w:lang w:val="en-GB"/>
        </w:rPr>
        <w:t>, and reducing informat</w:t>
      </w:r>
      <w:r w:rsidR="00FE54A7">
        <w:rPr>
          <w:rFonts w:ascii="Times New Roman" w:hAnsi="Times New Roman" w:cs="Times New Roman"/>
          <w:bCs/>
          <w:color w:val="000000"/>
          <w:sz w:val="18"/>
          <w:szCs w:val="18"/>
          <w:lang w:val="en-GB"/>
        </w:rPr>
        <w:t>ion asymmetry and agency costs [10</w:t>
      </w:r>
      <w:r w:rsidR="00BE27EB">
        <w:rPr>
          <w:rFonts w:ascii="Times New Roman" w:hAnsi="Times New Roman" w:cs="Times New Roman"/>
          <w:bCs/>
          <w:color w:val="000000"/>
          <w:sz w:val="18"/>
          <w:szCs w:val="18"/>
          <w:lang w:val="en-GB"/>
        </w:rPr>
        <w:t>,11,12,13]</w:t>
      </w:r>
      <w:r w:rsidRPr="00A02823">
        <w:rPr>
          <w:rFonts w:ascii="Times New Roman" w:hAnsi="Times New Roman" w:cs="Times New Roman"/>
          <w:bCs/>
          <w:color w:val="000000"/>
          <w:sz w:val="18"/>
          <w:szCs w:val="18"/>
          <w:lang w:val="en-GB"/>
        </w:rPr>
        <w:t xml:space="preserve">. Companies that fail to provide adequate disclosure may face difficulties obtaining capital to finance their operations or may </w:t>
      </w:r>
      <w:r w:rsidR="00BE27EB">
        <w:rPr>
          <w:rFonts w:ascii="Times New Roman" w:hAnsi="Times New Roman" w:cs="Times New Roman"/>
          <w:bCs/>
          <w:color w:val="000000"/>
          <w:sz w:val="18"/>
          <w:szCs w:val="18"/>
          <w:lang w:val="en-GB"/>
        </w:rPr>
        <w:t>incur a higher cost of capital [14].</w:t>
      </w:r>
    </w:p>
    <w:p w14:paraId="2DB02543" w14:textId="12253BBD" w:rsidR="00B5228D" w:rsidRDefault="00A02823" w:rsidP="0056339F">
      <w:pPr>
        <w:bidi w:val="0"/>
        <w:jc w:val="both"/>
        <w:rPr>
          <w:rFonts w:ascii="Times New Roman" w:hAnsi="Times New Roman" w:cs="Times New Roman"/>
          <w:bCs/>
          <w:color w:val="000000"/>
          <w:sz w:val="18"/>
          <w:szCs w:val="18"/>
          <w:lang w:val="en-GB"/>
        </w:rPr>
      </w:pPr>
      <w:r w:rsidRPr="00A02823">
        <w:rPr>
          <w:rFonts w:ascii="Times New Roman" w:hAnsi="Times New Roman" w:cs="Times New Roman"/>
          <w:bCs/>
          <w:color w:val="000000"/>
          <w:sz w:val="18"/>
          <w:szCs w:val="18"/>
          <w:lang w:val="en-GB"/>
        </w:rPr>
        <w:t xml:space="preserve">Despite the importance of voluntary disclosure, there is still a lack of research on its impact on board characteristics in developing countries such as Palestine </w:t>
      </w:r>
      <w:r w:rsidR="0056339F">
        <w:rPr>
          <w:rFonts w:ascii="Times New Roman" w:hAnsi="Times New Roman" w:cs="Times New Roman"/>
          <w:bCs/>
          <w:color w:val="000000"/>
          <w:sz w:val="18"/>
          <w:szCs w:val="18"/>
          <w:lang w:val="en-GB"/>
        </w:rPr>
        <w:t>[15</w:t>
      </w:r>
      <w:r w:rsidR="00414E90">
        <w:rPr>
          <w:rFonts w:ascii="Times New Roman" w:hAnsi="Times New Roman" w:cs="Times New Roman"/>
          <w:bCs/>
          <w:color w:val="000000"/>
          <w:sz w:val="18"/>
          <w:szCs w:val="18"/>
        </w:rPr>
        <w:t>,63</w:t>
      </w:r>
      <w:r w:rsidR="0056339F">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Therefore, this study aims to fill this literature gap by examining the impact of board characteristics on the level of voluntary disclosure of Palestinian companies listed on PEX </w:t>
      </w:r>
      <w:r w:rsidR="00B45FA3">
        <w:rPr>
          <w:rFonts w:ascii="Times New Roman" w:hAnsi="Times New Roman" w:cs="Times New Roman"/>
          <w:bCs/>
          <w:color w:val="000000"/>
          <w:sz w:val="18"/>
          <w:szCs w:val="18"/>
          <w:lang w:val="en-GB"/>
        </w:rPr>
        <w:t xml:space="preserve">from 2013 to </w:t>
      </w:r>
      <w:r w:rsidRPr="00A02823">
        <w:rPr>
          <w:rFonts w:ascii="Times New Roman" w:hAnsi="Times New Roman" w:cs="Times New Roman"/>
          <w:bCs/>
          <w:color w:val="000000"/>
          <w:sz w:val="18"/>
          <w:szCs w:val="18"/>
          <w:lang w:val="en-GB"/>
        </w:rPr>
        <w:t>2017. Understanding why companies voluntarily disclose information is beneficial for producers and users of accounting information, as well as accounting policymakers. The study will contribute to the literature on voluntary disclosure and board characteristics in developing countries like Palestine.</w:t>
      </w:r>
    </w:p>
    <w:p w14:paraId="6D05FF12" w14:textId="77777777" w:rsidR="00B80002" w:rsidRDefault="00642E3B" w:rsidP="00642E3B">
      <w:pPr>
        <w:bidi w:val="0"/>
        <w:jc w:val="both"/>
        <w:rPr>
          <w:rFonts w:ascii="Times New Roman" w:hAnsi="Times New Roman" w:cs="Times New Roman"/>
          <w:bCs/>
          <w:color w:val="000000"/>
          <w:sz w:val="18"/>
          <w:szCs w:val="18"/>
          <w:lang w:val="en-MY"/>
        </w:rPr>
      </w:pPr>
      <w:r w:rsidRPr="00642E3B">
        <w:rPr>
          <w:rFonts w:ascii="Times New Roman" w:hAnsi="Times New Roman" w:cs="Times New Roman"/>
          <w:b/>
          <w:bCs/>
          <w:color w:val="000000"/>
          <w:sz w:val="18"/>
          <w:szCs w:val="18"/>
          <w:lang w:val="en-MY"/>
        </w:rPr>
        <w:t>Literature, theoretical framework and developing hypotheses:</w:t>
      </w:r>
    </w:p>
    <w:p w14:paraId="5CCC6CCE" w14:textId="799E94DB" w:rsidR="00A02823" w:rsidRPr="00A02823" w:rsidRDefault="00A02823" w:rsidP="000E7D6A">
      <w:pPr>
        <w:bidi w:val="0"/>
        <w:jc w:val="both"/>
        <w:rPr>
          <w:rFonts w:ascii="Times New Roman" w:hAnsi="Times New Roman" w:cs="Times New Roman"/>
          <w:bCs/>
          <w:color w:val="000000"/>
          <w:sz w:val="18"/>
          <w:szCs w:val="18"/>
          <w:lang w:val="en-GB"/>
        </w:rPr>
      </w:pPr>
      <w:r w:rsidRPr="00A02823">
        <w:rPr>
          <w:rFonts w:ascii="Times New Roman" w:hAnsi="Times New Roman" w:cs="Times New Roman"/>
          <w:bCs/>
          <w:color w:val="000000"/>
          <w:sz w:val="18"/>
          <w:szCs w:val="18"/>
          <w:lang w:val="en-GB"/>
        </w:rPr>
        <w:lastRenderedPageBreak/>
        <w:t xml:space="preserve">Corporate voluntary disclosure has gained increasing attention as a crucial research area. Companies use voluntary disclosures in annual reports </w:t>
      </w:r>
      <w:r w:rsidR="00B45FA3">
        <w:rPr>
          <w:rFonts w:ascii="Times New Roman" w:hAnsi="Times New Roman" w:cs="Times New Roman"/>
          <w:bCs/>
          <w:color w:val="000000"/>
          <w:sz w:val="18"/>
          <w:szCs w:val="18"/>
          <w:lang w:val="en-GB"/>
        </w:rPr>
        <w:t>to communicate</w:t>
      </w:r>
      <w:r w:rsidRPr="00A02823">
        <w:rPr>
          <w:rFonts w:ascii="Times New Roman" w:hAnsi="Times New Roman" w:cs="Times New Roman"/>
          <w:bCs/>
          <w:color w:val="000000"/>
          <w:sz w:val="18"/>
          <w:szCs w:val="18"/>
          <w:lang w:val="en-GB"/>
        </w:rPr>
        <w:t xml:space="preserve"> to market their management ideas and promote their potential to stakeholders </w:t>
      </w:r>
      <w:r w:rsidR="006E4F16">
        <w:rPr>
          <w:rFonts w:ascii="Times New Roman" w:hAnsi="Times New Roman" w:cs="Times New Roman"/>
          <w:bCs/>
          <w:color w:val="000000"/>
          <w:sz w:val="18"/>
          <w:szCs w:val="18"/>
          <w:lang w:val="en-GB"/>
        </w:rPr>
        <w:t>[16]</w:t>
      </w:r>
      <w:r w:rsidRPr="00A02823">
        <w:rPr>
          <w:rFonts w:ascii="Times New Roman" w:hAnsi="Times New Roman" w:cs="Times New Roman"/>
          <w:bCs/>
          <w:color w:val="000000"/>
          <w:sz w:val="18"/>
          <w:szCs w:val="18"/>
          <w:lang w:val="en-GB"/>
        </w:rPr>
        <w:t xml:space="preserve">. Information plays a vital role in communicating with stakeholders, and from an accounting perspective, it contributes towards the long-term growth and sustainability of companies </w:t>
      </w:r>
      <w:r w:rsidR="006E4F16">
        <w:rPr>
          <w:rFonts w:ascii="Times New Roman" w:hAnsi="Times New Roman" w:cs="Times New Roman"/>
          <w:bCs/>
          <w:color w:val="000000"/>
          <w:sz w:val="18"/>
          <w:szCs w:val="18"/>
          <w:lang w:val="en-GB"/>
        </w:rPr>
        <w:t xml:space="preserve">[16, 17]. </w:t>
      </w:r>
      <w:r w:rsidRPr="00A02823">
        <w:rPr>
          <w:rFonts w:ascii="Times New Roman" w:hAnsi="Times New Roman" w:cs="Times New Roman"/>
          <w:bCs/>
          <w:color w:val="000000"/>
          <w:sz w:val="18"/>
          <w:szCs w:val="18"/>
          <w:lang w:val="en-GB"/>
        </w:rPr>
        <w:t xml:space="preserve">Several studies have examined the relationship between corporate governance mechanisms and voluntary disclosure, including board and firm characteristic variables </w:t>
      </w:r>
      <w:r w:rsidR="008D2D78">
        <w:rPr>
          <w:rFonts w:ascii="Times New Roman" w:hAnsi="Times New Roman" w:cs="Times New Roman"/>
          <w:bCs/>
          <w:color w:val="000000"/>
          <w:sz w:val="18"/>
          <w:szCs w:val="18"/>
          <w:lang w:val="en-GB"/>
        </w:rPr>
        <w:t>[4</w:t>
      </w:r>
      <w:r w:rsidR="000E7D6A">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w:t>
      </w:r>
      <w:r w:rsidR="006E4F16">
        <w:rPr>
          <w:rFonts w:ascii="Times New Roman" w:hAnsi="Times New Roman" w:cs="Times New Roman"/>
          <w:bCs/>
          <w:color w:val="000000"/>
          <w:sz w:val="18"/>
          <w:szCs w:val="18"/>
          <w:lang w:val="en-GB"/>
        </w:rPr>
        <w:t>18</w:t>
      </w:r>
      <w:r w:rsidR="000E7D6A">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w:t>
      </w:r>
      <w:r w:rsidR="006E4F16">
        <w:rPr>
          <w:rFonts w:ascii="Times New Roman" w:hAnsi="Times New Roman" w:cs="Times New Roman"/>
          <w:bCs/>
          <w:color w:val="000000"/>
          <w:sz w:val="18"/>
          <w:szCs w:val="18"/>
          <w:lang w:val="en-GB"/>
        </w:rPr>
        <w:t>19</w:t>
      </w:r>
      <w:r w:rsidR="000E7D6A">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w:t>
      </w:r>
      <w:r w:rsidR="006E4F16">
        <w:rPr>
          <w:rFonts w:ascii="Times New Roman" w:hAnsi="Times New Roman" w:cs="Times New Roman"/>
          <w:bCs/>
          <w:color w:val="000000"/>
          <w:sz w:val="18"/>
          <w:szCs w:val="18"/>
          <w:lang w:val="en-GB"/>
        </w:rPr>
        <w:t>20</w:t>
      </w:r>
      <w:r w:rsidR="000E7D6A">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w:t>
      </w:r>
      <w:r w:rsidR="006E4F16">
        <w:rPr>
          <w:rFonts w:ascii="Times New Roman" w:hAnsi="Times New Roman" w:cs="Times New Roman"/>
          <w:bCs/>
          <w:color w:val="000000"/>
          <w:sz w:val="18"/>
          <w:szCs w:val="18"/>
          <w:lang w:val="en-GB"/>
        </w:rPr>
        <w:t>21</w:t>
      </w:r>
      <w:r w:rsidR="000E7D6A">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w:t>
      </w:r>
      <w:r w:rsidR="006E4F16">
        <w:rPr>
          <w:rFonts w:ascii="Times New Roman" w:hAnsi="Times New Roman" w:cs="Times New Roman"/>
          <w:bCs/>
          <w:color w:val="000000"/>
          <w:sz w:val="18"/>
          <w:szCs w:val="18"/>
          <w:lang w:val="en-GB"/>
        </w:rPr>
        <w:t>22]</w:t>
      </w:r>
      <w:r w:rsidRPr="00A02823">
        <w:rPr>
          <w:rFonts w:ascii="Times New Roman" w:hAnsi="Times New Roman" w:cs="Times New Roman"/>
          <w:bCs/>
          <w:color w:val="000000"/>
          <w:sz w:val="18"/>
          <w:szCs w:val="18"/>
          <w:lang w:val="en-GB"/>
        </w:rPr>
        <w:t>.</w:t>
      </w:r>
    </w:p>
    <w:p w14:paraId="2976EFF5" w14:textId="0CC288CA" w:rsidR="00A02823" w:rsidRPr="00A02823" w:rsidRDefault="00A02823" w:rsidP="000E7D6A">
      <w:pPr>
        <w:bidi w:val="0"/>
        <w:jc w:val="both"/>
        <w:rPr>
          <w:rFonts w:ascii="Times New Roman" w:hAnsi="Times New Roman" w:cs="Times New Roman"/>
          <w:bCs/>
          <w:color w:val="000000"/>
          <w:sz w:val="18"/>
          <w:szCs w:val="18"/>
          <w:lang w:val="en-GB"/>
        </w:rPr>
      </w:pPr>
      <w:r w:rsidRPr="00A02823">
        <w:rPr>
          <w:rFonts w:ascii="Times New Roman" w:hAnsi="Times New Roman" w:cs="Times New Roman"/>
          <w:bCs/>
          <w:color w:val="000000"/>
          <w:sz w:val="18"/>
          <w:szCs w:val="18"/>
          <w:lang w:val="en-GB"/>
        </w:rPr>
        <w:t xml:space="preserve">The board of directors has a crucial role in aligning management concerns with those of stakeholders, minimizing agency costs and </w:t>
      </w:r>
      <w:r w:rsidR="00B45FA3">
        <w:rPr>
          <w:rFonts w:ascii="Times New Roman" w:hAnsi="Times New Roman" w:cs="Times New Roman"/>
          <w:bCs/>
          <w:color w:val="000000"/>
          <w:sz w:val="18"/>
          <w:szCs w:val="18"/>
          <w:lang w:val="en-GB"/>
        </w:rPr>
        <w:t>information asymmetry</w:t>
      </w:r>
      <w:r w:rsidRPr="00A02823">
        <w:rPr>
          <w:rFonts w:ascii="Times New Roman" w:hAnsi="Times New Roman" w:cs="Times New Roman"/>
          <w:bCs/>
          <w:color w:val="000000"/>
          <w:sz w:val="18"/>
          <w:szCs w:val="18"/>
          <w:lang w:val="en-GB"/>
        </w:rPr>
        <w:t xml:space="preserve"> </w:t>
      </w:r>
      <w:r w:rsidR="000E7D6A">
        <w:rPr>
          <w:rFonts w:ascii="Times New Roman" w:hAnsi="Times New Roman" w:cs="Times New Roman"/>
          <w:bCs/>
          <w:color w:val="000000"/>
          <w:sz w:val="18"/>
          <w:szCs w:val="18"/>
          <w:lang w:val="en-GB"/>
        </w:rPr>
        <w:t>[23]</w:t>
      </w:r>
      <w:r w:rsidRPr="00A02823">
        <w:rPr>
          <w:rFonts w:ascii="Times New Roman" w:hAnsi="Times New Roman" w:cs="Times New Roman"/>
          <w:bCs/>
          <w:color w:val="000000"/>
          <w:sz w:val="18"/>
          <w:szCs w:val="18"/>
          <w:lang w:val="en-GB"/>
        </w:rPr>
        <w:t>. Previous studies have examined board characteristic</w:t>
      </w:r>
      <w:r w:rsidR="00B45FA3">
        <w:rPr>
          <w:rFonts w:ascii="Times New Roman" w:hAnsi="Times New Roman" w:cs="Times New Roman"/>
          <w:bCs/>
          <w:color w:val="000000"/>
          <w:sz w:val="18"/>
          <w:szCs w:val="18"/>
          <w:lang w:val="en-GB"/>
        </w:rPr>
        <w:t xml:space="preserve">s </w:t>
      </w:r>
      <w:r w:rsidRPr="00A02823">
        <w:rPr>
          <w:rFonts w:ascii="Times New Roman" w:hAnsi="Times New Roman" w:cs="Times New Roman"/>
          <w:bCs/>
          <w:color w:val="000000"/>
          <w:sz w:val="18"/>
          <w:szCs w:val="18"/>
          <w:lang w:val="en-GB"/>
        </w:rPr>
        <w:t>and their relationship with voluntary di</w:t>
      </w:r>
      <w:r w:rsidR="008D2D78">
        <w:rPr>
          <w:rFonts w:ascii="Times New Roman" w:hAnsi="Times New Roman" w:cs="Times New Roman"/>
          <w:bCs/>
          <w:color w:val="000000"/>
          <w:sz w:val="18"/>
          <w:szCs w:val="18"/>
          <w:lang w:val="en-GB"/>
        </w:rPr>
        <w:t>sclosure, including board size [4</w:t>
      </w:r>
      <w:r w:rsidR="000E7D6A">
        <w:rPr>
          <w:rFonts w:ascii="Times New Roman" w:hAnsi="Times New Roman" w:cs="Times New Roman"/>
          <w:bCs/>
          <w:color w:val="000000"/>
          <w:sz w:val="18"/>
          <w:szCs w:val="18"/>
          <w:lang w:val="en-GB"/>
        </w:rPr>
        <w:t>, 24</w:t>
      </w:r>
      <w:r w:rsidR="0047301D">
        <w:rPr>
          <w:rFonts w:ascii="Times New Roman" w:hAnsi="Times New Roman" w:cs="Times New Roman"/>
          <w:bCs/>
          <w:color w:val="000000"/>
          <w:sz w:val="18"/>
          <w:szCs w:val="18"/>
          <w:lang w:val="en-GB"/>
        </w:rPr>
        <w:t>,67</w:t>
      </w:r>
      <w:r w:rsidR="000E7D6A">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board independence </w:t>
      </w:r>
      <w:r w:rsidR="006E4F16">
        <w:rPr>
          <w:rFonts w:ascii="Times New Roman" w:hAnsi="Times New Roman" w:cs="Times New Roman"/>
          <w:bCs/>
          <w:color w:val="000000"/>
          <w:sz w:val="18"/>
          <w:szCs w:val="18"/>
          <w:lang w:val="en-GB"/>
        </w:rPr>
        <w:t>[19</w:t>
      </w:r>
      <w:r w:rsidR="000E7D6A">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w:t>
      </w:r>
      <w:r w:rsidR="000E7D6A">
        <w:rPr>
          <w:rFonts w:ascii="Times New Roman" w:hAnsi="Times New Roman" w:cs="Times New Roman"/>
          <w:bCs/>
          <w:color w:val="000000"/>
          <w:sz w:val="18"/>
          <w:szCs w:val="18"/>
          <w:lang w:val="en-GB"/>
        </w:rPr>
        <w:t>25]</w:t>
      </w:r>
      <w:r w:rsidRPr="00A02823">
        <w:rPr>
          <w:rFonts w:ascii="Times New Roman" w:hAnsi="Times New Roman" w:cs="Times New Roman"/>
          <w:bCs/>
          <w:color w:val="000000"/>
          <w:sz w:val="18"/>
          <w:szCs w:val="18"/>
          <w:lang w:val="en-GB"/>
        </w:rPr>
        <w:t xml:space="preserve">, and board gender diversity </w:t>
      </w:r>
      <w:r w:rsidR="000E7D6A">
        <w:rPr>
          <w:rFonts w:ascii="Times New Roman" w:hAnsi="Times New Roman" w:cs="Times New Roman"/>
          <w:bCs/>
          <w:color w:val="000000"/>
          <w:sz w:val="18"/>
          <w:szCs w:val="18"/>
          <w:lang w:val="en-GB"/>
        </w:rPr>
        <w:t>[26</w:t>
      </w:r>
      <w:r w:rsidRPr="00A02823">
        <w:rPr>
          <w:rFonts w:ascii="Times New Roman" w:hAnsi="Times New Roman" w:cs="Times New Roman"/>
          <w:bCs/>
          <w:color w:val="000000"/>
          <w:sz w:val="18"/>
          <w:szCs w:val="18"/>
          <w:lang w:val="en-GB"/>
        </w:rPr>
        <w:t xml:space="preserve">, </w:t>
      </w:r>
      <w:r w:rsidR="000E7D6A">
        <w:rPr>
          <w:rFonts w:ascii="Times New Roman" w:hAnsi="Times New Roman" w:cs="Times New Roman"/>
          <w:bCs/>
          <w:color w:val="000000"/>
          <w:sz w:val="18"/>
          <w:szCs w:val="18"/>
          <w:lang w:val="en-GB"/>
        </w:rPr>
        <w:t>27]</w:t>
      </w:r>
      <w:r w:rsidRPr="00A02823">
        <w:rPr>
          <w:rFonts w:ascii="Times New Roman" w:hAnsi="Times New Roman" w:cs="Times New Roman"/>
          <w:bCs/>
          <w:color w:val="000000"/>
          <w:sz w:val="18"/>
          <w:szCs w:val="18"/>
          <w:lang w:val="en-GB"/>
        </w:rPr>
        <w:t>.</w:t>
      </w:r>
    </w:p>
    <w:p w14:paraId="52E04AAB" w14:textId="5CABBB70" w:rsidR="00A02823" w:rsidRPr="00A02823" w:rsidRDefault="00B45FA3" w:rsidP="00016EC9">
      <w:pPr>
        <w:bidi w:val="0"/>
        <w:jc w:val="both"/>
        <w:rPr>
          <w:rFonts w:ascii="Times New Roman" w:hAnsi="Times New Roman" w:cs="Times New Roman"/>
          <w:bCs/>
          <w:color w:val="000000"/>
          <w:sz w:val="18"/>
          <w:szCs w:val="18"/>
          <w:lang w:val="en-GB"/>
        </w:rPr>
      </w:pPr>
      <w:r>
        <w:rPr>
          <w:rFonts w:ascii="Times New Roman" w:hAnsi="Times New Roman" w:cs="Times New Roman"/>
          <w:bCs/>
          <w:color w:val="000000"/>
          <w:sz w:val="18"/>
          <w:szCs w:val="18"/>
          <w:lang w:val="en-GB"/>
        </w:rPr>
        <w:t>Previous studies have explored the extent and nature of voluntary disclosure in Palestinian-listed companies in Palestine</w:t>
      </w:r>
      <w:r w:rsidR="00A02823" w:rsidRPr="00A02823">
        <w:rPr>
          <w:rFonts w:ascii="Times New Roman" w:hAnsi="Times New Roman" w:cs="Times New Roman"/>
          <w:bCs/>
          <w:color w:val="000000"/>
          <w:sz w:val="18"/>
          <w:szCs w:val="18"/>
          <w:lang w:val="en-GB"/>
        </w:rPr>
        <w:t xml:space="preserve">. For example, </w:t>
      </w:r>
      <w:r w:rsidR="000E7D6A">
        <w:rPr>
          <w:rFonts w:ascii="Times New Roman" w:hAnsi="Times New Roman" w:cs="Times New Roman"/>
          <w:bCs/>
          <w:color w:val="000000"/>
          <w:sz w:val="18"/>
          <w:szCs w:val="18"/>
          <w:lang w:val="en-GB"/>
        </w:rPr>
        <w:t xml:space="preserve">[28] </w:t>
      </w:r>
      <w:r w:rsidR="00A02823" w:rsidRPr="00A02823">
        <w:rPr>
          <w:rFonts w:ascii="Times New Roman" w:hAnsi="Times New Roman" w:cs="Times New Roman"/>
          <w:bCs/>
          <w:color w:val="000000"/>
          <w:sz w:val="18"/>
          <w:szCs w:val="18"/>
          <w:lang w:val="en-GB"/>
        </w:rPr>
        <w:t>studied the effect of voluntary disclosure on stock prices in Palestinian listed companies in 2014, finding that the average voluntary disclosure was 54%, with the banking sector having the highest voluntary disclosure rate of 70%.</w:t>
      </w:r>
      <w:r>
        <w:rPr>
          <w:rFonts w:ascii="Times New Roman" w:hAnsi="Times New Roman" w:cs="Times New Roman"/>
          <w:bCs/>
          <w:color w:val="000000"/>
          <w:sz w:val="18"/>
          <w:szCs w:val="18"/>
          <w:lang w:val="en-GB"/>
        </w:rPr>
        <w:t xml:space="preserve"> Furthermore,</w:t>
      </w:r>
      <w:r w:rsidR="00A02823" w:rsidRPr="00A02823">
        <w:rPr>
          <w:rFonts w:ascii="Times New Roman" w:hAnsi="Times New Roman" w:cs="Times New Roman"/>
          <w:bCs/>
          <w:color w:val="000000"/>
          <w:sz w:val="18"/>
          <w:szCs w:val="18"/>
          <w:lang w:val="en-GB"/>
        </w:rPr>
        <w:t xml:space="preserve"> </w:t>
      </w:r>
      <w:r w:rsidR="000E7D6A">
        <w:rPr>
          <w:rFonts w:ascii="Times New Roman" w:hAnsi="Times New Roman" w:cs="Times New Roman"/>
          <w:bCs/>
          <w:color w:val="000000"/>
          <w:sz w:val="18"/>
          <w:szCs w:val="18"/>
          <w:lang w:val="en-GB"/>
        </w:rPr>
        <w:t>[25]</w:t>
      </w:r>
      <w:r w:rsidR="00A02823" w:rsidRPr="00A02823">
        <w:rPr>
          <w:rFonts w:ascii="Times New Roman" w:hAnsi="Times New Roman" w:cs="Times New Roman"/>
          <w:bCs/>
          <w:color w:val="000000"/>
          <w:sz w:val="18"/>
          <w:szCs w:val="18"/>
          <w:lang w:val="en-GB"/>
        </w:rPr>
        <w:t xml:space="preserve"> explored the critical factors influencing voluntary disclosure in Palestinian</w:t>
      </w:r>
      <w:r>
        <w:rPr>
          <w:rFonts w:ascii="Times New Roman" w:hAnsi="Times New Roman" w:cs="Times New Roman"/>
          <w:bCs/>
          <w:color w:val="000000"/>
          <w:sz w:val="18"/>
          <w:szCs w:val="18"/>
          <w:lang w:val="en-GB"/>
        </w:rPr>
        <w:t>-</w:t>
      </w:r>
      <w:r w:rsidR="00A02823" w:rsidRPr="00A02823">
        <w:rPr>
          <w:rFonts w:ascii="Times New Roman" w:hAnsi="Times New Roman" w:cs="Times New Roman"/>
          <w:bCs/>
          <w:color w:val="000000"/>
          <w:sz w:val="18"/>
          <w:szCs w:val="18"/>
          <w:lang w:val="en-GB"/>
        </w:rPr>
        <w:t xml:space="preserve">listed companies in 2011 and 2007, finding an average voluntary disclosure of 41.7% in 2011 and 30.8% in 2007. Additionally, </w:t>
      </w:r>
      <w:r w:rsidR="00016EC9">
        <w:rPr>
          <w:rFonts w:ascii="Times New Roman" w:hAnsi="Times New Roman" w:cs="Times New Roman"/>
          <w:bCs/>
          <w:color w:val="000000"/>
          <w:sz w:val="18"/>
          <w:szCs w:val="18"/>
          <w:lang w:val="en-GB"/>
        </w:rPr>
        <w:t xml:space="preserve">[29, 30] </w:t>
      </w:r>
      <w:r w:rsidR="00A02823" w:rsidRPr="00A02823">
        <w:rPr>
          <w:rFonts w:ascii="Times New Roman" w:hAnsi="Times New Roman" w:cs="Times New Roman"/>
          <w:bCs/>
          <w:color w:val="000000"/>
          <w:sz w:val="18"/>
          <w:szCs w:val="18"/>
          <w:lang w:val="en-GB"/>
        </w:rPr>
        <w:t>examined the extent and nature of CSR reporting in the annual reports of companies listed on the Palestine Exchange (PEX), finding a relatively low level of CSR disclosure in Palestinian corporations.</w:t>
      </w:r>
    </w:p>
    <w:p w14:paraId="019D5299" w14:textId="7AAD10F9" w:rsidR="00A02823" w:rsidRPr="00A02823" w:rsidRDefault="00A02823" w:rsidP="00E806A4">
      <w:pPr>
        <w:bidi w:val="0"/>
        <w:jc w:val="both"/>
        <w:rPr>
          <w:rFonts w:ascii="Times New Roman" w:hAnsi="Times New Roman" w:cs="Times New Roman"/>
          <w:bCs/>
          <w:color w:val="000000"/>
          <w:sz w:val="18"/>
          <w:szCs w:val="18"/>
          <w:lang w:val="en-GB"/>
        </w:rPr>
      </w:pPr>
      <w:r w:rsidRPr="00A02823">
        <w:rPr>
          <w:rFonts w:ascii="Times New Roman" w:hAnsi="Times New Roman" w:cs="Times New Roman"/>
          <w:bCs/>
          <w:color w:val="000000"/>
          <w:sz w:val="18"/>
          <w:szCs w:val="18"/>
          <w:lang w:val="en-GB"/>
        </w:rPr>
        <w:t xml:space="preserve">Various theories explain </w:t>
      </w:r>
      <w:r w:rsidR="00B45FA3">
        <w:rPr>
          <w:rFonts w:ascii="Times New Roman" w:hAnsi="Times New Roman" w:cs="Times New Roman"/>
          <w:bCs/>
          <w:color w:val="000000"/>
          <w:sz w:val="18"/>
          <w:szCs w:val="18"/>
          <w:lang w:val="en-GB"/>
        </w:rPr>
        <w:t>firms’ voluntary disclosure, including agency, signalling, capital need, and legitimacy theories</w:t>
      </w:r>
      <w:r w:rsidR="00A36258">
        <w:rPr>
          <w:rFonts w:ascii="Times New Roman" w:hAnsi="Times New Roman" w:cs="Times New Roman"/>
          <w:bCs/>
          <w:color w:val="000000"/>
          <w:sz w:val="18"/>
          <w:szCs w:val="18"/>
          <w:lang w:val="en-GB"/>
        </w:rPr>
        <w:t xml:space="preserve"> </w:t>
      </w:r>
      <w:r w:rsidR="008D2D78">
        <w:rPr>
          <w:rFonts w:ascii="Times New Roman" w:hAnsi="Times New Roman" w:cs="Times New Roman"/>
          <w:bCs/>
          <w:color w:val="000000"/>
          <w:sz w:val="18"/>
          <w:szCs w:val="18"/>
          <w:lang w:val="en-GB"/>
        </w:rPr>
        <w:t>[1].</w:t>
      </w:r>
      <w:r w:rsidRPr="00A02823">
        <w:rPr>
          <w:rFonts w:ascii="Times New Roman" w:hAnsi="Times New Roman" w:cs="Times New Roman"/>
          <w:bCs/>
          <w:color w:val="000000"/>
          <w:sz w:val="18"/>
          <w:szCs w:val="18"/>
          <w:lang w:val="en-GB"/>
        </w:rPr>
        <w:t xml:space="preserve"> The agency theory suggests that firms disclose voluntary information to reduce agency problems, minimize agency costs, and </w:t>
      </w:r>
      <w:r w:rsidR="00B45FA3">
        <w:rPr>
          <w:rFonts w:ascii="Times New Roman" w:hAnsi="Times New Roman" w:cs="Times New Roman"/>
          <w:bCs/>
          <w:color w:val="000000"/>
          <w:sz w:val="18"/>
          <w:szCs w:val="18"/>
          <w:lang w:val="en-GB"/>
        </w:rPr>
        <w:t>effectively use</w:t>
      </w:r>
      <w:r w:rsidRPr="00A02823">
        <w:rPr>
          <w:rFonts w:ascii="Times New Roman" w:hAnsi="Times New Roman" w:cs="Times New Roman"/>
          <w:bCs/>
          <w:color w:val="000000"/>
          <w:sz w:val="18"/>
          <w:szCs w:val="18"/>
          <w:lang w:val="en-GB"/>
        </w:rPr>
        <w:t xml:space="preserve"> resources in the shareholders</w:t>
      </w:r>
      <w:r w:rsidR="00B45FA3">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 best interest </w:t>
      </w:r>
      <w:r w:rsidR="00BE27EB">
        <w:rPr>
          <w:rFonts w:ascii="Times New Roman" w:hAnsi="Times New Roman" w:cs="Times New Roman"/>
          <w:bCs/>
          <w:color w:val="000000"/>
          <w:sz w:val="18"/>
          <w:szCs w:val="18"/>
          <w:lang w:val="en-GB"/>
        </w:rPr>
        <w:t>[12]</w:t>
      </w:r>
      <w:r w:rsidRPr="00A02823">
        <w:rPr>
          <w:rFonts w:ascii="Times New Roman" w:hAnsi="Times New Roman" w:cs="Times New Roman"/>
          <w:bCs/>
          <w:color w:val="000000"/>
          <w:sz w:val="18"/>
          <w:szCs w:val="18"/>
          <w:lang w:val="en-GB"/>
        </w:rPr>
        <w:t xml:space="preserve">. The </w:t>
      </w:r>
      <w:r w:rsidR="00B5228D" w:rsidRPr="00A02823">
        <w:rPr>
          <w:rFonts w:ascii="Times New Roman" w:hAnsi="Times New Roman" w:cs="Times New Roman"/>
          <w:bCs/>
          <w:color w:val="000000"/>
          <w:sz w:val="18"/>
          <w:szCs w:val="18"/>
          <w:lang w:val="en-GB"/>
        </w:rPr>
        <w:t>signalling</w:t>
      </w:r>
      <w:r w:rsidRPr="00A02823">
        <w:rPr>
          <w:rFonts w:ascii="Times New Roman" w:hAnsi="Times New Roman" w:cs="Times New Roman"/>
          <w:bCs/>
          <w:color w:val="000000"/>
          <w:sz w:val="18"/>
          <w:szCs w:val="18"/>
          <w:lang w:val="en-GB"/>
        </w:rPr>
        <w:t xml:space="preserve"> theory indicates that voluntary information distinguishes a company</w:t>
      </w:r>
      <w:r w:rsidR="00B45FA3">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s performance from other firms, enhances its reputation, and attracts new investments </w:t>
      </w:r>
      <w:r w:rsidR="00016EC9">
        <w:rPr>
          <w:rFonts w:ascii="Times New Roman" w:hAnsi="Times New Roman" w:cs="Times New Roman"/>
          <w:bCs/>
          <w:color w:val="000000"/>
          <w:sz w:val="18"/>
          <w:szCs w:val="18"/>
          <w:lang w:val="en-GB"/>
        </w:rPr>
        <w:t>[31]</w:t>
      </w:r>
      <w:r w:rsidRPr="00A02823">
        <w:rPr>
          <w:rFonts w:ascii="Times New Roman" w:hAnsi="Times New Roman" w:cs="Times New Roman"/>
          <w:bCs/>
          <w:color w:val="000000"/>
          <w:sz w:val="18"/>
          <w:szCs w:val="18"/>
          <w:lang w:val="en-GB"/>
        </w:rPr>
        <w:t xml:space="preserve">. The capital need theory posits that companies that disclose more voluntary information </w:t>
      </w:r>
      <w:r w:rsidR="00B45FA3">
        <w:rPr>
          <w:rFonts w:ascii="Times New Roman" w:hAnsi="Times New Roman" w:cs="Times New Roman"/>
          <w:bCs/>
          <w:color w:val="000000"/>
          <w:sz w:val="18"/>
          <w:szCs w:val="18"/>
          <w:lang w:val="en-GB"/>
        </w:rPr>
        <w:t>can obtain</w:t>
      </w:r>
      <w:r w:rsidRPr="00A02823">
        <w:rPr>
          <w:rFonts w:ascii="Times New Roman" w:hAnsi="Times New Roman" w:cs="Times New Roman"/>
          <w:bCs/>
          <w:color w:val="000000"/>
          <w:sz w:val="18"/>
          <w:szCs w:val="18"/>
          <w:lang w:val="en-GB"/>
        </w:rPr>
        <w:t xml:space="preserve"> funds at a lower cost </w:t>
      </w:r>
      <w:r w:rsidR="00E806A4">
        <w:rPr>
          <w:rFonts w:ascii="Times New Roman" w:hAnsi="Times New Roman" w:cs="Times New Roman"/>
          <w:bCs/>
          <w:color w:val="000000"/>
          <w:sz w:val="18"/>
          <w:szCs w:val="18"/>
          <w:lang w:val="en-GB"/>
        </w:rPr>
        <w:t>[32].</w:t>
      </w:r>
      <w:r w:rsidRPr="00A02823">
        <w:rPr>
          <w:rFonts w:ascii="Times New Roman" w:hAnsi="Times New Roman" w:cs="Times New Roman"/>
          <w:bCs/>
          <w:color w:val="000000"/>
          <w:sz w:val="18"/>
          <w:szCs w:val="18"/>
          <w:lang w:val="en-GB"/>
        </w:rPr>
        <w:t xml:space="preserve"> </w:t>
      </w:r>
      <w:r w:rsidR="00B45FA3">
        <w:rPr>
          <w:rFonts w:ascii="Times New Roman" w:hAnsi="Times New Roman" w:cs="Times New Roman"/>
          <w:bCs/>
          <w:color w:val="000000"/>
          <w:sz w:val="18"/>
          <w:szCs w:val="18"/>
          <w:lang w:val="en-GB"/>
        </w:rPr>
        <w:t>Finally, l</w:t>
      </w:r>
      <w:r w:rsidRPr="00A02823">
        <w:rPr>
          <w:rFonts w:ascii="Times New Roman" w:hAnsi="Times New Roman" w:cs="Times New Roman"/>
          <w:bCs/>
          <w:color w:val="000000"/>
          <w:sz w:val="18"/>
          <w:szCs w:val="18"/>
          <w:lang w:val="en-GB"/>
        </w:rPr>
        <w:t>egitimacy theory explains the incentive of management to disclose information voluntarily because disclosure informs the community about the firm</w:t>
      </w:r>
      <w:r w:rsidR="00B45FA3">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 xml:space="preserve">s work and contribution to society </w:t>
      </w:r>
      <w:r w:rsidR="00E806A4">
        <w:rPr>
          <w:rFonts w:ascii="Times New Roman" w:hAnsi="Times New Roman" w:cs="Times New Roman"/>
          <w:bCs/>
          <w:color w:val="000000"/>
          <w:sz w:val="18"/>
          <w:szCs w:val="18"/>
          <w:lang w:val="en-GB"/>
        </w:rPr>
        <w:t>[33</w:t>
      </w:r>
      <w:r w:rsidR="002417ED">
        <w:rPr>
          <w:rFonts w:ascii="Times New Roman" w:hAnsi="Times New Roman" w:cs="Times New Roman"/>
          <w:bCs/>
          <w:color w:val="000000"/>
          <w:sz w:val="18"/>
          <w:szCs w:val="18"/>
          <w:lang w:val="en-GB"/>
        </w:rPr>
        <w:t>,66</w:t>
      </w:r>
      <w:r w:rsidR="00E806A4">
        <w:rPr>
          <w:rFonts w:ascii="Times New Roman" w:hAnsi="Times New Roman" w:cs="Times New Roman"/>
          <w:bCs/>
          <w:color w:val="000000"/>
          <w:sz w:val="18"/>
          <w:szCs w:val="18"/>
          <w:lang w:val="en-GB"/>
        </w:rPr>
        <w:t>]</w:t>
      </w:r>
      <w:r w:rsidRPr="00A02823">
        <w:rPr>
          <w:rFonts w:ascii="Times New Roman" w:hAnsi="Times New Roman" w:cs="Times New Roman"/>
          <w:bCs/>
          <w:color w:val="000000"/>
          <w:sz w:val="18"/>
          <w:szCs w:val="18"/>
          <w:lang w:val="en-GB"/>
        </w:rPr>
        <w:t>.</w:t>
      </w:r>
    </w:p>
    <w:p w14:paraId="08D75317" w14:textId="77777777" w:rsidR="005A784E" w:rsidRPr="005A784E" w:rsidRDefault="005A784E" w:rsidP="005A784E">
      <w:pPr>
        <w:bidi w:val="0"/>
        <w:jc w:val="both"/>
        <w:rPr>
          <w:rFonts w:ascii="Times New Roman" w:hAnsi="Times New Roman" w:cs="Times New Roman"/>
          <w:b/>
          <w:bCs/>
          <w:color w:val="000000"/>
          <w:sz w:val="18"/>
          <w:szCs w:val="18"/>
        </w:rPr>
      </w:pPr>
      <w:r w:rsidRPr="005A784E">
        <w:rPr>
          <w:rFonts w:ascii="Times New Roman" w:hAnsi="Times New Roman" w:cs="Times New Roman"/>
          <w:b/>
          <w:bCs/>
          <w:color w:val="000000"/>
          <w:sz w:val="18"/>
          <w:szCs w:val="18"/>
        </w:rPr>
        <w:t>Board Size</w:t>
      </w:r>
    </w:p>
    <w:p w14:paraId="1AB9DCC2" w14:textId="53FBEDC4" w:rsidR="00DA3C1C" w:rsidRPr="00DA3C1C" w:rsidRDefault="00DA3C1C" w:rsidP="00E806A4">
      <w:pPr>
        <w:bidi w:val="0"/>
        <w:jc w:val="both"/>
        <w:rPr>
          <w:rFonts w:ascii="Times New Roman" w:hAnsi="Times New Roman" w:cs="Times New Roman"/>
          <w:bCs/>
          <w:color w:val="000000"/>
          <w:sz w:val="18"/>
          <w:szCs w:val="18"/>
          <w:lang w:val="en-GB"/>
        </w:rPr>
      </w:pPr>
      <w:r w:rsidRPr="00DA3C1C">
        <w:rPr>
          <w:rFonts w:ascii="Times New Roman" w:hAnsi="Times New Roman" w:cs="Times New Roman"/>
          <w:bCs/>
          <w:color w:val="000000"/>
          <w:sz w:val="18"/>
          <w:szCs w:val="18"/>
          <w:lang w:val="en-GB"/>
        </w:rPr>
        <w:t xml:space="preserve">The board of directors is a critical component of corporate governance, with its primary responsibility being to monitor and control </w:t>
      </w:r>
      <w:r w:rsidR="00B45FA3">
        <w:rPr>
          <w:rFonts w:ascii="Times New Roman" w:hAnsi="Times New Roman" w:cs="Times New Roman"/>
          <w:bCs/>
          <w:color w:val="000000"/>
          <w:sz w:val="18"/>
          <w:szCs w:val="18"/>
          <w:lang w:val="en-GB"/>
        </w:rPr>
        <w:t>management’s actions</w:t>
      </w:r>
      <w:r w:rsidRPr="00DA3C1C">
        <w:rPr>
          <w:rFonts w:ascii="Times New Roman" w:hAnsi="Times New Roman" w:cs="Times New Roman"/>
          <w:bCs/>
          <w:color w:val="000000"/>
          <w:sz w:val="18"/>
          <w:szCs w:val="18"/>
          <w:lang w:val="en-GB"/>
        </w:rPr>
        <w:t xml:space="preserve"> </w:t>
      </w:r>
      <w:r w:rsidR="00E806A4">
        <w:rPr>
          <w:rFonts w:ascii="Times New Roman" w:hAnsi="Times New Roman" w:cs="Times New Roman"/>
          <w:bCs/>
          <w:color w:val="000000"/>
          <w:sz w:val="18"/>
          <w:szCs w:val="18"/>
          <w:lang w:val="en-GB"/>
        </w:rPr>
        <w:t>[34]</w:t>
      </w:r>
      <w:r w:rsidRPr="00DA3C1C">
        <w:rPr>
          <w:rFonts w:ascii="Times New Roman" w:hAnsi="Times New Roman" w:cs="Times New Roman"/>
          <w:bCs/>
          <w:color w:val="000000"/>
          <w:sz w:val="18"/>
          <w:szCs w:val="18"/>
          <w:lang w:val="en-GB"/>
        </w:rPr>
        <w:t xml:space="preserve">. The size of the board is an essential factor that can affect its effectiveness in fulfilling these functions. Larger boards can provide a greater variety of expertise and contribute to strategic decision-making </w:t>
      </w:r>
      <w:r w:rsidR="00E806A4">
        <w:rPr>
          <w:rFonts w:ascii="Times New Roman" w:hAnsi="Times New Roman" w:cs="Times New Roman"/>
          <w:bCs/>
          <w:color w:val="000000"/>
          <w:sz w:val="18"/>
          <w:szCs w:val="18"/>
          <w:lang w:val="en-GB"/>
        </w:rPr>
        <w:t>[35]</w:t>
      </w:r>
      <w:r w:rsidRPr="00DA3C1C">
        <w:rPr>
          <w:rFonts w:ascii="Times New Roman" w:hAnsi="Times New Roman" w:cs="Times New Roman"/>
          <w:bCs/>
          <w:color w:val="000000"/>
          <w:sz w:val="18"/>
          <w:szCs w:val="18"/>
          <w:lang w:val="en-GB"/>
        </w:rPr>
        <w:t xml:space="preserve">. In addition, larger boards have been found to minimize the likelihood of information asymmetry </w:t>
      </w:r>
      <w:r w:rsidR="00E806A4">
        <w:rPr>
          <w:rFonts w:ascii="Times New Roman" w:hAnsi="Times New Roman" w:cs="Times New Roman"/>
          <w:bCs/>
          <w:color w:val="000000"/>
          <w:sz w:val="18"/>
          <w:szCs w:val="18"/>
          <w:lang w:val="en-GB"/>
        </w:rPr>
        <w:t>[36],</w:t>
      </w:r>
      <w:r w:rsidRPr="00DA3C1C">
        <w:rPr>
          <w:rFonts w:ascii="Times New Roman" w:hAnsi="Times New Roman" w:cs="Times New Roman"/>
          <w:bCs/>
          <w:color w:val="000000"/>
          <w:sz w:val="18"/>
          <w:szCs w:val="18"/>
          <w:lang w:val="en-GB"/>
        </w:rPr>
        <w:t xml:space="preserve"> and promote greater levels of information disclosure </w:t>
      </w:r>
      <w:r w:rsidR="008D2D78">
        <w:rPr>
          <w:rFonts w:ascii="Times New Roman" w:hAnsi="Times New Roman" w:cs="Times New Roman"/>
          <w:bCs/>
          <w:color w:val="000000"/>
          <w:sz w:val="18"/>
          <w:szCs w:val="18"/>
          <w:lang w:val="en-GB"/>
        </w:rPr>
        <w:t>[3].</w:t>
      </w:r>
    </w:p>
    <w:p w14:paraId="6756AC1B" w14:textId="32E7C7B8" w:rsidR="00DA3C1C" w:rsidRPr="00DA3C1C" w:rsidRDefault="00DA3C1C" w:rsidP="00E806A4">
      <w:pPr>
        <w:bidi w:val="0"/>
        <w:jc w:val="both"/>
        <w:rPr>
          <w:rFonts w:ascii="Times New Roman" w:hAnsi="Times New Roman" w:cs="Times New Roman"/>
          <w:bCs/>
          <w:color w:val="000000"/>
          <w:sz w:val="18"/>
          <w:szCs w:val="18"/>
          <w:lang w:val="en-GB"/>
        </w:rPr>
      </w:pPr>
      <w:r w:rsidRPr="00DA3C1C">
        <w:rPr>
          <w:rFonts w:ascii="Times New Roman" w:hAnsi="Times New Roman" w:cs="Times New Roman"/>
          <w:bCs/>
          <w:color w:val="000000"/>
          <w:sz w:val="18"/>
          <w:szCs w:val="18"/>
          <w:lang w:val="en-GB"/>
        </w:rPr>
        <w:t>Previous research has consistently shown a positive relationship between board size a</w:t>
      </w:r>
      <w:r w:rsidR="006E4F16">
        <w:rPr>
          <w:rFonts w:ascii="Times New Roman" w:hAnsi="Times New Roman" w:cs="Times New Roman"/>
          <w:bCs/>
          <w:color w:val="000000"/>
          <w:sz w:val="18"/>
          <w:szCs w:val="18"/>
          <w:lang w:val="en-GB"/>
        </w:rPr>
        <w:t>nd voluntary disclosure levels [</w:t>
      </w:r>
      <w:r w:rsidR="00FE54A7">
        <w:rPr>
          <w:rFonts w:ascii="Times New Roman" w:hAnsi="Times New Roman" w:cs="Times New Roman"/>
          <w:bCs/>
          <w:color w:val="000000"/>
          <w:sz w:val="18"/>
          <w:szCs w:val="18"/>
          <w:lang w:val="en-GB"/>
        </w:rPr>
        <w:t>10</w:t>
      </w:r>
      <w:r w:rsidR="006E4F16">
        <w:rPr>
          <w:rFonts w:ascii="Times New Roman" w:hAnsi="Times New Roman" w:cs="Times New Roman"/>
          <w:bCs/>
          <w:color w:val="000000"/>
          <w:sz w:val="18"/>
          <w:szCs w:val="18"/>
          <w:lang w:val="en-GB"/>
        </w:rPr>
        <w:t>,18</w:t>
      </w:r>
      <w:r w:rsidR="000E7D6A">
        <w:rPr>
          <w:rFonts w:ascii="Times New Roman" w:hAnsi="Times New Roman" w:cs="Times New Roman"/>
          <w:bCs/>
          <w:color w:val="000000"/>
          <w:sz w:val="18"/>
          <w:szCs w:val="18"/>
          <w:lang w:val="en-GB"/>
        </w:rPr>
        <w:t>,24</w:t>
      </w:r>
      <w:r w:rsidR="00E806A4">
        <w:rPr>
          <w:rFonts w:ascii="Times New Roman" w:hAnsi="Times New Roman" w:cs="Times New Roman"/>
          <w:bCs/>
          <w:color w:val="000000"/>
          <w:sz w:val="18"/>
          <w:szCs w:val="18"/>
          <w:lang w:val="en-GB"/>
        </w:rPr>
        <w:t>,</w:t>
      </w:r>
      <w:r w:rsidR="000E7D6A">
        <w:rPr>
          <w:rFonts w:ascii="Times New Roman" w:hAnsi="Times New Roman" w:cs="Times New Roman"/>
          <w:bCs/>
          <w:color w:val="000000"/>
          <w:sz w:val="18"/>
          <w:szCs w:val="18"/>
          <w:lang w:val="en-GB"/>
        </w:rPr>
        <w:t>25</w:t>
      </w:r>
      <w:r w:rsidR="00E806A4">
        <w:rPr>
          <w:rFonts w:ascii="Times New Roman" w:hAnsi="Times New Roman" w:cs="Times New Roman"/>
          <w:bCs/>
          <w:color w:val="000000"/>
          <w:sz w:val="18"/>
          <w:szCs w:val="18"/>
          <w:lang w:val="en-GB"/>
        </w:rPr>
        <w:t>,35]</w:t>
      </w:r>
      <w:r w:rsidRPr="00DA3C1C">
        <w:rPr>
          <w:rFonts w:ascii="Times New Roman" w:hAnsi="Times New Roman" w:cs="Times New Roman"/>
          <w:bCs/>
          <w:color w:val="000000"/>
          <w:sz w:val="18"/>
          <w:szCs w:val="18"/>
          <w:lang w:val="en-GB"/>
        </w:rPr>
        <w:t xml:space="preserve"> Specifically, studies have found that larger boards are associated with higher levels of voluntary disclosure </w:t>
      </w:r>
      <w:r w:rsidR="006E4F16">
        <w:rPr>
          <w:rFonts w:ascii="Times New Roman" w:hAnsi="Times New Roman" w:cs="Times New Roman"/>
          <w:bCs/>
          <w:color w:val="000000"/>
          <w:sz w:val="18"/>
          <w:szCs w:val="18"/>
          <w:lang w:val="en-GB"/>
        </w:rPr>
        <w:t>[18</w:t>
      </w:r>
      <w:r w:rsidR="00E806A4">
        <w:rPr>
          <w:rFonts w:ascii="Times New Roman" w:hAnsi="Times New Roman" w:cs="Times New Roman"/>
          <w:bCs/>
          <w:color w:val="000000"/>
          <w:sz w:val="18"/>
          <w:szCs w:val="18"/>
          <w:lang w:val="en-GB"/>
        </w:rPr>
        <w:t>,24,</w:t>
      </w:r>
      <w:r w:rsidR="000E7D6A">
        <w:rPr>
          <w:rFonts w:ascii="Times New Roman" w:hAnsi="Times New Roman" w:cs="Times New Roman"/>
          <w:bCs/>
          <w:color w:val="000000"/>
          <w:sz w:val="18"/>
          <w:szCs w:val="18"/>
          <w:lang w:val="en-GB"/>
        </w:rPr>
        <w:t>25</w:t>
      </w:r>
      <w:r w:rsidR="00E806A4">
        <w:rPr>
          <w:rFonts w:ascii="Times New Roman" w:hAnsi="Times New Roman" w:cs="Times New Roman"/>
          <w:bCs/>
          <w:color w:val="000000"/>
          <w:sz w:val="18"/>
          <w:szCs w:val="18"/>
          <w:lang w:val="en-GB"/>
        </w:rPr>
        <w:t>,37]</w:t>
      </w:r>
      <w:r w:rsidRPr="00DA3C1C">
        <w:rPr>
          <w:rFonts w:ascii="Times New Roman" w:hAnsi="Times New Roman" w:cs="Times New Roman"/>
          <w:bCs/>
          <w:color w:val="000000"/>
          <w:sz w:val="18"/>
          <w:szCs w:val="18"/>
          <w:lang w:val="en-GB"/>
        </w:rPr>
        <w:t xml:space="preserve">. This relationship can be attributed to </w:t>
      </w:r>
      <w:r w:rsidR="00B45FA3">
        <w:rPr>
          <w:rFonts w:ascii="Times New Roman" w:hAnsi="Times New Roman" w:cs="Times New Roman"/>
          <w:bCs/>
          <w:color w:val="000000"/>
          <w:sz w:val="18"/>
          <w:szCs w:val="18"/>
          <w:lang w:val="en-GB"/>
        </w:rPr>
        <w:t>larger boards having more diverse expertise and better monitoring and controlling</w:t>
      </w:r>
      <w:r w:rsidRPr="00DA3C1C">
        <w:rPr>
          <w:rFonts w:ascii="Times New Roman" w:hAnsi="Times New Roman" w:cs="Times New Roman"/>
          <w:bCs/>
          <w:color w:val="000000"/>
          <w:sz w:val="18"/>
          <w:szCs w:val="18"/>
          <w:lang w:val="en-GB"/>
        </w:rPr>
        <w:t xml:space="preserve"> management actions, leading to greater levels of voluntary disclosure</w:t>
      </w:r>
      <w:r>
        <w:rPr>
          <w:rFonts w:ascii="Times New Roman" w:hAnsi="Times New Roman" w:cs="Times New Roman"/>
          <w:bCs/>
          <w:color w:val="000000"/>
          <w:sz w:val="18"/>
          <w:szCs w:val="18"/>
          <w:lang w:val="en-GB"/>
        </w:rPr>
        <w:t xml:space="preserve">. </w:t>
      </w:r>
      <w:r w:rsidR="00B45FA3">
        <w:rPr>
          <w:rFonts w:ascii="Times New Roman" w:hAnsi="Times New Roman" w:cs="Times New Roman"/>
          <w:bCs/>
          <w:color w:val="000000"/>
          <w:sz w:val="18"/>
          <w:szCs w:val="18"/>
          <w:lang w:val="en-GB"/>
        </w:rPr>
        <w:t>Therefore, b</w:t>
      </w:r>
      <w:r>
        <w:rPr>
          <w:rFonts w:ascii="Times New Roman" w:hAnsi="Times New Roman" w:cs="Times New Roman"/>
          <w:bCs/>
          <w:color w:val="000000"/>
          <w:sz w:val="18"/>
          <w:szCs w:val="18"/>
          <w:lang w:val="en-GB"/>
        </w:rPr>
        <w:t>ased on the previous discussion</w:t>
      </w:r>
      <w:r w:rsidR="00B45FA3">
        <w:rPr>
          <w:rFonts w:ascii="Times New Roman" w:hAnsi="Times New Roman" w:cs="Times New Roman"/>
          <w:bCs/>
          <w:color w:val="000000"/>
          <w:sz w:val="18"/>
          <w:szCs w:val="18"/>
          <w:lang w:val="en-GB"/>
        </w:rPr>
        <w:t>,</w:t>
      </w:r>
      <w:r>
        <w:rPr>
          <w:rFonts w:ascii="Times New Roman" w:hAnsi="Times New Roman" w:cs="Times New Roman"/>
          <w:bCs/>
          <w:color w:val="000000"/>
          <w:sz w:val="18"/>
          <w:szCs w:val="18"/>
          <w:lang w:val="en-GB"/>
        </w:rPr>
        <w:t xml:space="preserve"> the first hypothesis will be as follows:</w:t>
      </w:r>
    </w:p>
    <w:p w14:paraId="2ADF8490" w14:textId="77777777" w:rsidR="005A784E" w:rsidRPr="005A784E" w:rsidRDefault="005A784E" w:rsidP="003304E2">
      <w:pPr>
        <w:bidi w:val="0"/>
        <w:jc w:val="both"/>
        <w:rPr>
          <w:rFonts w:ascii="Times New Roman" w:hAnsi="Times New Roman" w:cs="Times New Roman"/>
          <w:bCs/>
          <w:i/>
          <w:iCs/>
          <w:color w:val="000000"/>
          <w:sz w:val="18"/>
          <w:szCs w:val="18"/>
        </w:rPr>
      </w:pPr>
      <w:r w:rsidRPr="005A784E">
        <w:rPr>
          <w:rFonts w:ascii="Times New Roman" w:hAnsi="Times New Roman" w:cs="Times New Roman"/>
          <w:b/>
          <w:bCs/>
          <w:i/>
          <w:iCs/>
          <w:color w:val="000000"/>
          <w:sz w:val="18"/>
          <w:szCs w:val="18"/>
        </w:rPr>
        <w:t>H1:</w:t>
      </w:r>
      <w:r w:rsidRPr="005A784E">
        <w:rPr>
          <w:rFonts w:ascii="Times New Roman" w:hAnsi="Times New Roman" w:cs="Times New Roman"/>
          <w:bCs/>
          <w:i/>
          <w:iCs/>
          <w:color w:val="000000"/>
          <w:sz w:val="18"/>
          <w:szCs w:val="18"/>
        </w:rPr>
        <w:t xml:space="preserve"> There is a significant positive relationship between board size and the level of voluntary disclosure in the annual reports of Palestinian companies listed on PEX.</w:t>
      </w:r>
    </w:p>
    <w:p w14:paraId="5F7B0EEE" w14:textId="77777777" w:rsidR="00A3260D" w:rsidRDefault="00A3260D" w:rsidP="00A3260D">
      <w:pPr>
        <w:bidi w:val="0"/>
        <w:jc w:val="both"/>
        <w:rPr>
          <w:rFonts w:ascii="Times New Roman" w:hAnsi="Times New Roman" w:cs="Times New Roman"/>
          <w:b/>
          <w:bCs/>
          <w:color w:val="000000"/>
          <w:sz w:val="18"/>
          <w:szCs w:val="18"/>
        </w:rPr>
      </w:pPr>
      <w:r w:rsidRPr="00A3260D">
        <w:rPr>
          <w:rFonts w:ascii="Times New Roman" w:hAnsi="Times New Roman" w:cs="Times New Roman"/>
          <w:b/>
          <w:bCs/>
          <w:color w:val="000000"/>
          <w:sz w:val="18"/>
          <w:szCs w:val="18"/>
        </w:rPr>
        <w:t xml:space="preserve">Board independence </w:t>
      </w:r>
    </w:p>
    <w:p w14:paraId="31516CE1" w14:textId="6029D16B" w:rsidR="00CA332F" w:rsidRDefault="00CA332F" w:rsidP="00D03689">
      <w:pPr>
        <w:bidi w:val="0"/>
        <w:jc w:val="both"/>
        <w:rPr>
          <w:rFonts w:ascii="Times New Roman" w:hAnsi="Times New Roman" w:cs="Times New Roman"/>
          <w:bCs/>
          <w:color w:val="000000"/>
          <w:sz w:val="18"/>
          <w:szCs w:val="18"/>
        </w:rPr>
      </w:pPr>
      <w:r w:rsidRPr="00CA332F">
        <w:rPr>
          <w:rFonts w:ascii="Times New Roman" w:hAnsi="Times New Roman" w:cs="Times New Roman"/>
          <w:bCs/>
          <w:color w:val="000000"/>
          <w:sz w:val="18"/>
          <w:szCs w:val="18"/>
        </w:rPr>
        <w:t xml:space="preserve">The composition of the board of directors is a crucial aspect of corporate governance. Non-executive directors, who are independent </w:t>
      </w:r>
      <w:r w:rsidR="00B45FA3">
        <w:rPr>
          <w:rFonts w:ascii="Times New Roman" w:hAnsi="Times New Roman" w:cs="Times New Roman"/>
          <w:bCs/>
          <w:color w:val="000000"/>
          <w:sz w:val="18"/>
          <w:szCs w:val="18"/>
        </w:rPr>
        <w:t>board members and not employed by the firm, have been found to be more effective in maximizing shareholder wealth and improving control over management than</w:t>
      </w:r>
      <w:r w:rsidRPr="00CA332F">
        <w:rPr>
          <w:rFonts w:ascii="Times New Roman" w:hAnsi="Times New Roman" w:cs="Times New Roman"/>
          <w:bCs/>
          <w:color w:val="000000"/>
          <w:sz w:val="18"/>
          <w:szCs w:val="18"/>
        </w:rPr>
        <w:t xml:space="preserve"> inside</w:t>
      </w:r>
      <w:r w:rsidR="00D03689">
        <w:rPr>
          <w:rFonts w:ascii="Times New Roman" w:hAnsi="Times New Roman" w:cs="Times New Roman"/>
          <w:bCs/>
          <w:color w:val="000000"/>
          <w:sz w:val="18"/>
          <w:szCs w:val="18"/>
        </w:rPr>
        <w:t>r directors [38]</w:t>
      </w:r>
      <w:r w:rsidRPr="00CA332F">
        <w:rPr>
          <w:rFonts w:ascii="Times New Roman" w:hAnsi="Times New Roman" w:cs="Times New Roman"/>
          <w:bCs/>
          <w:color w:val="000000"/>
          <w:sz w:val="18"/>
          <w:szCs w:val="18"/>
        </w:rPr>
        <w:t xml:space="preserve">. Non-executive directors can also play a vital role in addressing agency problems and reducing information asymmetry by providing greater voluntary disclosure </w:t>
      </w:r>
      <w:r w:rsidR="00D03689">
        <w:rPr>
          <w:rFonts w:ascii="Times New Roman" w:hAnsi="Times New Roman" w:cs="Times New Roman"/>
          <w:bCs/>
          <w:color w:val="000000"/>
          <w:sz w:val="18"/>
          <w:szCs w:val="18"/>
        </w:rPr>
        <w:t>[39]</w:t>
      </w:r>
      <w:r w:rsidRPr="00CA332F">
        <w:rPr>
          <w:rFonts w:ascii="Times New Roman" w:hAnsi="Times New Roman" w:cs="Times New Roman"/>
          <w:bCs/>
          <w:color w:val="000000"/>
          <w:sz w:val="18"/>
          <w:szCs w:val="18"/>
        </w:rPr>
        <w:t xml:space="preserve">. Previous research has shown that a greater proportion of independent directors on the board can improve the quality of disclosure and limit the incentives for withholding information </w:t>
      </w:r>
      <w:r w:rsidR="00D03689">
        <w:rPr>
          <w:rFonts w:ascii="Times New Roman" w:hAnsi="Times New Roman" w:cs="Times New Roman"/>
          <w:bCs/>
          <w:color w:val="000000"/>
          <w:sz w:val="18"/>
          <w:szCs w:val="18"/>
        </w:rPr>
        <w:t>[40]</w:t>
      </w:r>
      <w:r w:rsidRPr="00CA332F">
        <w:rPr>
          <w:rFonts w:ascii="Times New Roman" w:hAnsi="Times New Roman" w:cs="Times New Roman"/>
          <w:bCs/>
          <w:color w:val="000000"/>
          <w:sz w:val="18"/>
          <w:szCs w:val="18"/>
        </w:rPr>
        <w:t xml:space="preserve">. </w:t>
      </w:r>
      <w:r w:rsidR="00B45FA3">
        <w:rPr>
          <w:rFonts w:ascii="Times New Roman" w:hAnsi="Times New Roman" w:cs="Times New Roman"/>
          <w:bCs/>
          <w:color w:val="000000"/>
          <w:sz w:val="18"/>
          <w:szCs w:val="18"/>
        </w:rPr>
        <w:t>In addition, c</w:t>
      </w:r>
      <w:r w:rsidRPr="00CA332F">
        <w:rPr>
          <w:rFonts w:ascii="Times New Roman" w:hAnsi="Times New Roman" w:cs="Times New Roman"/>
          <w:bCs/>
          <w:color w:val="000000"/>
          <w:sz w:val="18"/>
          <w:szCs w:val="18"/>
        </w:rPr>
        <w:t xml:space="preserve">ompanies with a higher proportion of non-executive directors have been found to disclose more information to investors, with a positive relationship between the proportion of non-executive directors and the level of voluntary disclosure </w:t>
      </w:r>
      <w:r w:rsidR="006E4F16">
        <w:rPr>
          <w:rFonts w:ascii="Times New Roman" w:hAnsi="Times New Roman" w:cs="Times New Roman"/>
          <w:bCs/>
          <w:color w:val="000000"/>
          <w:sz w:val="18"/>
          <w:szCs w:val="18"/>
        </w:rPr>
        <w:t>[</w:t>
      </w:r>
      <w:r w:rsidR="000E7D6A">
        <w:rPr>
          <w:rFonts w:ascii="Times New Roman" w:hAnsi="Times New Roman" w:cs="Times New Roman"/>
          <w:bCs/>
          <w:color w:val="000000"/>
          <w:sz w:val="18"/>
          <w:szCs w:val="18"/>
        </w:rPr>
        <w:t>3,</w:t>
      </w:r>
      <w:r w:rsidR="006E4F16">
        <w:rPr>
          <w:rFonts w:ascii="Times New Roman" w:hAnsi="Times New Roman" w:cs="Times New Roman"/>
          <w:bCs/>
          <w:color w:val="000000"/>
          <w:sz w:val="18"/>
          <w:szCs w:val="18"/>
        </w:rPr>
        <w:t>19</w:t>
      </w:r>
      <w:r w:rsidR="000E7D6A">
        <w:rPr>
          <w:rFonts w:ascii="Times New Roman" w:hAnsi="Times New Roman" w:cs="Times New Roman"/>
          <w:bCs/>
          <w:color w:val="000000"/>
          <w:sz w:val="18"/>
          <w:szCs w:val="18"/>
        </w:rPr>
        <w:t>,</w:t>
      </w:r>
      <w:r w:rsidRPr="00CA332F">
        <w:rPr>
          <w:rFonts w:ascii="Times New Roman" w:hAnsi="Times New Roman" w:cs="Times New Roman"/>
          <w:bCs/>
          <w:color w:val="000000"/>
          <w:sz w:val="18"/>
          <w:szCs w:val="18"/>
        </w:rPr>
        <w:t xml:space="preserve"> </w:t>
      </w:r>
      <w:r w:rsidR="000E7D6A">
        <w:rPr>
          <w:rFonts w:ascii="Times New Roman" w:hAnsi="Times New Roman" w:cs="Times New Roman"/>
          <w:bCs/>
          <w:color w:val="000000"/>
          <w:sz w:val="18"/>
          <w:szCs w:val="18"/>
        </w:rPr>
        <w:t>23,</w:t>
      </w:r>
      <w:r w:rsidRPr="00CA332F">
        <w:rPr>
          <w:rFonts w:ascii="Times New Roman" w:hAnsi="Times New Roman" w:cs="Times New Roman"/>
          <w:bCs/>
          <w:color w:val="000000"/>
          <w:sz w:val="18"/>
          <w:szCs w:val="18"/>
        </w:rPr>
        <w:t xml:space="preserve"> </w:t>
      </w:r>
      <w:r w:rsidR="000E7D6A">
        <w:rPr>
          <w:rFonts w:ascii="Times New Roman" w:hAnsi="Times New Roman" w:cs="Times New Roman"/>
          <w:bCs/>
          <w:color w:val="000000"/>
          <w:sz w:val="18"/>
          <w:szCs w:val="18"/>
        </w:rPr>
        <w:t>25]</w:t>
      </w:r>
      <w:r w:rsidRPr="00CA332F">
        <w:rPr>
          <w:rFonts w:ascii="Times New Roman" w:hAnsi="Times New Roman" w:cs="Times New Roman"/>
          <w:bCs/>
          <w:color w:val="000000"/>
          <w:sz w:val="18"/>
          <w:szCs w:val="18"/>
        </w:rPr>
        <w:t>. Therefore, the second hypothesis of this study is:</w:t>
      </w:r>
    </w:p>
    <w:p w14:paraId="413CDBC1" w14:textId="2DF1B8AA" w:rsidR="005A784E" w:rsidRPr="005A784E" w:rsidRDefault="005A784E" w:rsidP="00A3260D">
      <w:pPr>
        <w:bidi w:val="0"/>
        <w:jc w:val="both"/>
        <w:rPr>
          <w:rFonts w:ascii="Times New Roman" w:hAnsi="Times New Roman" w:cs="Times New Roman"/>
          <w:bCs/>
          <w:i/>
          <w:iCs/>
          <w:color w:val="000000"/>
          <w:sz w:val="18"/>
          <w:szCs w:val="18"/>
        </w:rPr>
      </w:pPr>
      <w:r w:rsidRPr="005A784E">
        <w:rPr>
          <w:rFonts w:ascii="Times New Roman" w:hAnsi="Times New Roman" w:cs="Times New Roman"/>
          <w:b/>
          <w:bCs/>
          <w:i/>
          <w:iCs/>
          <w:color w:val="000000"/>
          <w:sz w:val="18"/>
          <w:szCs w:val="18"/>
        </w:rPr>
        <w:t>H2:</w:t>
      </w:r>
      <w:r w:rsidRPr="005A784E">
        <w:rPr>
          <w:rFonts w:ascii="Times New Roman" w:hAnsi="Times New Roman" w:cs="Times New Roman"/>
          <w:bCs/>
          <w:i/>
          <w:iCs/>
          <w:color w:val="000000"/>
          <w:sz w:val="18"/>
          <w:szCs w:val="18"/>
        </w:rPr>
        <w:t xml:space="preserve"> There is a significant positive relationship between </w:t>
      </w:r>
      <w:r w:rsidR="00A3260D">
        <w:rPr>
          <w:rFonts w:ascii="Times New Roman" w:hAnsi="Times New Roman" w:cs="Times New Roman"/>
          <w:bCs/>
          <w:i/>
          <w:iCs/>
          <w:color w:val="000000"/>
          <w:sz w:val="18"/>
          <w:szCs w:val="18"/>
        </w:rPr>
        <w:t>b</w:t>
      </w:r>
      <w:r w:rsidR="00A3260D" w:rsidRPr="00A3260D">
        <w:rPr>
          <w:rFonts w:ascii="Times New Roman" w:hAnsi="Times New Roman" w:cs="Times New Roman"/>
          <w:bCs/>
          <w:i/>
          <w:iCs/>
          <w:color w:val="000000"/>
          <w:sz w:val="18"/>
          <w:szCs w:val="18"/>
        </w:rPr>
        <w:t xml:space="preserve">oard independence </w:t>
      </w:r>
      <w:r w:rsidRPr="005A784E">
        <w:rPr>
          <w:rFonts w:ascii="Times New Roman" w:hAnsi="Times New Roman" w:cs="Times New Roman"/>
          <w:bCs/>
          <w:i/>
          <w:iCs/>
          <w:color w:val="000000"/>
          <w:sz w:val="18"/>
          <w:szCs w:val="18"/>
        </w:rPr>
        <w:t>and the level of voluntary disclosure in the annual reports of Palestinian companies listed on PEX.</w:t>
      </w:r>
    </w:p>
    <w:p w14:paraId="1FBD530C" w14:textId="77777777" w:rsidR="00D03689" w:rsidRDefault="00D03689" w:rsidP="005A784E">
      <w:pPr>
        <w:bidi w:val="0"/>
        <w:jc w:val="both"/>
        <w:rPr>
          <w:rFonts w:ascii="Times New Roman" w:hAnsi="Times New Roman" w:cs="Times New Roman"/>
          <w:b/>
          <w:bCs/>
          <w:color w:val="000000"/>
          <w:sz w:val="18"/>
          <w:szCs w:val="18"/>
        </w:rPr>
      </w:pPr>
    </w:p>
    <w:p w14:paraId="09D13FDA" w14:textId="77777777" w:rsidR="005A784E" w:rsidRPr="005A784E" w:rsidRDefault="005A784E" w:rsidP="00D03689">
      <w:pPr>
        <w:bidi w:val="0"/>
        <w:jc w:val="both"/>
        <w:rPr>
          <w:rFonts w:ascii="Times New Roman" w:hAnsi="Times New Roman" w:cs="Times New Roman"/>
          <w:b/>
          <w:bCs/>
          <w:color w:val="000000"/>
          <w:sz w:val="18"/>
          <w:szCs w:val="18"/>
        </w:rPr>
      </w:pPr>
      <w:r w:rsidRPr="005A784E">
        <w:rPr>
          <w:rFonts w:ascii="Times New Roman" w:hAnsi="Times New Roman" w:cs="Times New Roman"/>
          <w:b/>
          <w:bCs/>
          <w:color w:val="000000"/>
          <w:sz w:val="18"/>
          <w:szCs w:val="18"/>
        </w:rPr>
        <w:t>Board Gender diversity</w:t>
      </w:r>
    </w:p>
    <w:p w14:paraId="5B0D3A86" w14:textId="43645E7E" w:rsidR="00CA332F" w:rsidRDefault="00CA332F" w:rsidP="007C05E7">
      <w:pPr>
        <w:bidi w:val="0"/>
        <w:jc w:val="both"/>
        <w:rPr>
          <w:rFonts w:ascii="Times New Roman" w:hAnsi="Times New Roman" w:cs="Times New Roman"/>
          <w:bCs/>
          <w:color w:val="000000"/>
          <w:sz w:val="18"/>
          <w:szCs w:val="18"/>
        </w:rPr>
      </w:pPr>
      <w:r w:rsidRPr="00CA332F">
        <w:rPr>
          <w:rFonts w:ascii="Times New Roman" w:hAnsi="Times New Roman" w:cs="Times New Roman"/>
          <w:bCs/>
          <w:color w:val="000000"/>
          <w:sz w:val="18"/>
          <w:szCs w:val="18"/>
        </w:rPr>
        <w:t>The issue of gender diversity has gained significant attention in recent years due to the increasing number of women in top management and on corporate boards</w:t>
      </w:r>
      <w:r w:rsidR="00D03689">
        <w:rPr>
          <w:rFonts w:ascii="Times New Roman" w:hAnsi="Times New Roman" w:cs="Times New Roman"/>
          <w:bCs/>
          <w:color w:val="000000"/>
          <w:sz w:val="18"/>
          <w:szCs w:val="18"/>
        </w:rPr>
        <w:t xml:space="preserve"> [41,42]</w:t>
      </w:r>
      <w:r w:rsidRPr="00CA332F">
        <w:rPr>
          <w:rFonts w:ascii="Times New Roman" w:hAnsi="Times New Roman" w:cs="Times New Roman"/>
          <w:bCs/>
          <w:color w:val="000000"/>
          <w:sz w:val="18"/>
          <w:szCs w:val="18"/>
        </w:rPr>
        <w:t xml:space="preserve">. Studies have suggested that board gender diversity may impact </w:t>
      </w:r>
      <w:r w:rsidR="00B45FA3">
        <w:rPr>
          <w:rFonts w:ascii="Times New Roman" w:hAnsi="Times New Roman" w:cs="Times New Roman"/>
          <w:bCs/>
          <w:color w:val="000000"/>
          <w:sz w:val="18"/>
          <w:szCs w:val="18"/>
        </w:rPr>
        <w:t>firms’ disclosure practice</w:t>
      </w:r>
      <w:r w:rsidRPr="00CA332F">
        <w:rPr>
          <w:rFonts w:ascii="Times New Roman" w:hAnsi="Times New Roman" w:cs="Times New Roman"/>
          <w:bCs/>
          <w:color w:val="000000"/>
          <w:sz w:val="18"/>
          <w:szCs w:val="18"/>
        </w:rPr>
        <w:t xml:space="preserve">s in their annual reports </w:t>
      </w:r>
      <w:r w:rsidR="00D03689">
        <w:rPr>
          <w:rFonts w:ascii="Times New Roman" w:hAnsi="Times New Roman" w:cs="Times New Roman"/>
          <w:bCs/>
          <w:color w:val="000000"/>
          <w:sz w:val="18"/>
          <w:szCs w:val="18"/>
        </w:rPr>
        <w:t>[43]</w:t>
      </w:r>
      <w:r w:rsidRPr="00CA332F">
        <w:rPr>
          <w:rFonts w:ascii="Times New Roman" w:hAnsi="Times New Roman" w:cs="Times New Roman"/>
          <w:bCs/>
          <w:color w:val="000000"/>
          <w:sz w:val="18"/>
          <w:szCs w:val="18"/>
        </w:rPr>
        <w:t xml:space="preserve">. According to agency theory, a more diverse board </w:t>
      </w:r>
      <w:r w:rsidR="00B45FA3">
        <w:rPr>
          <w:rFonts w:ascii="Times New Roman" w:hAnsi="Times New Roman" w:cs="Times New Roman"/>
          <w:bCs/>
          <w:color w:val="000000"/>
          <w:sz w:val="18"/>
          <w:szCs w:val="18"/>
        </w:rPr>
        <w:t>will likely</w:t>
      </w:r>
      <w:r w:rsidRPr="00CA332F">
        <w:rPr>
          <w:rFonts w:ascii="Times New Roman" w:hAnsi="Times New Roman" w:cs="Times New Roman"/>
          <w:bCs/>
          <w:color w:val="000000"/>
          <w:sz w:val="18"/>
          <w:szCs w:val="18"/>
        </w:rPr>
        <w:t xml:space="preserve"> be more effective in monitoring management actions due to increased independence </w:t>
      </w:r>
      <w:r w:rsidR="00CC7E71">
        <w:rPr>
          <w:rFonts w:ascii="Times New Roman" w:hAnsi="Times New Roman" w:cs="Times New Roman"/>
          <w:bCs/>
          <w:color w:val="000000"/>
          <w:sz w:val="18"/>
          <w:szCs w:val="18"/>
        </w:rPr>
        <w:t>[44]</w:t>
      </w:r>
      <w:r w:rsidRPr="00CA332F">
        <w:rPr>
          <w:rFonts w:ascii="Times New Roman" w:hAnsi="Times New Roman" w:cs="Times New Roman"/>
          <w:bCs/>
          <w:color w:val="000000"/>
          <w:sz w:val="18"/>
          <w:szCs w:val="18"/>
        </w:rPr>
        <w:t>.</w:t>
      </w:r>
      <w:r w:rsidR="00B45FA3">
        <w:rPr>
          <w:rFonts w:ascii="Times New Roman" w:hAnsi="Times New Roman" w:cs="Times New Roman"/>
          <w:bCs/>
          <w:color w:val="000000"/>
          <w:sz w:val="18"/>
          <w:szCs w:val="18"/>
        </w:rPr>
        <w:t xml:space="preserve"> In addition,</w:t>
      </w:r>
      <w:r w:rsidRPr="00CA332F">
        <w:rPr>
          <w:rFonts w:ascii="Times New Roman" w:hAnsi="Times New Roman" w:cs="Times New Roman"/>
          <w:bCs/>
          <w:color w:val="000000"/>
          <w:sz w:val="18"/>
          <w:szCs w:val="18"/>
        </w:rPr>
        <w:t xml:space="preserve"> </w:t>
      </w:r>
      <w:r w:rsidR="007C05E7">
        <w:rPr>
          <w:rFonts w:ascii="Times New Roman" w:hAnsi="Times New Roman" w:cs="Times New Roman"/>
          <w:bCs/>
          <w:color w:val="000000"/>
          <w:sz w:val="18"/>
          <w:szCs w:val="18"/>
        </w:rPr>
        <w:t>[45]</w:t>
      </w:r>
      <w:r w:rsidRPr="00CA332F">
        <w:rPr>
          <w:rFonts w:ascii="Times New Roman" w:hAnsi="Times New Roman" w:cs="Times New Roman"/>
          <w:bCs/>
          <w:color w:val="000000"/>
          <w:sz w:val="18"/>
          <w:szCs w:val="18"/>
        </w:rPr>
        <w:t xml:space="preserve"> have argued that women directors are particularly </w:t>
      </w:r>
      <w:r w:rsidR="00B45FA3">
        <w:rPr>
          <w:rFonts w:ascii="Times New Roman" w:hAnsi="Times New Roman" w:cs="Times New Roman"/>
          <w:bCs/>
          <w:color w:val="000000"/>
          <w:sz w:val="18"/>
          <w:szCs w:val="18"/>
        </w:rPr>
        <w:t>influential</w:t>
      </w:r>
      <w:r w:rsidRPr="00CA332F">
        <w:rPr>
          <w:rFonts w:ascii="Times New Roman" w:hAnsi="Times New Roman" w:cs="Times New Roman"/>
          <w:bCs/>
          <w:color w:val="000000"/>
          <w:sz w:val="18"/>
          <w:szCs w:val="18"/>
        </w:rPr>
        <w:t xml:space="preserve"> in monitoring and overseeing the actions of managers. Therefore, it is suggested that a greater representation of women on the board may enhance the board</w:t>
      </w:r>
      <w:r w:rsidR="00B45FA3">
        <w:rPr>
          <w:rFonts w:ascii="Times New Roman" w:hAnsi="Times New Roman" w:cs="Times New Roman"/>
          <w:bCs/>
          <w:color w:val="000000"/>
          <w:sz w:val="18"/>
          <w:szCs w:val="18"/>
        </w:rPr>
        <w:t>’</w:t>
      </w:r>
      <w:r w:rsidRPr="00CA332F">
        <w:rPr>
          <w:rFonts w:ascii="Times New Roman" w:hAnsi="Times New Roman" w:cs="Times New Roman"/>
          <w:bCs/>
          <w:color w:val="000000"/>
          <w:sz w:val="18"/>
          <w:szCs w:val="18"/>
        </w:rPr>
        <w:t xml:space="preserve">s commitment to corporate voluntary disclosure practices </w:t>
      </w:r>
      <w:r w:rsidR="007C05E7">
        <w:rPr>
          <w:rFonts w:ascii="Times New Roman" w:hAnsi="Times New Roman" w:cs="Times New Roman"/>
          <w:bCs/>
          <w:color w:val="000000"/>
          <w:sz w:val="18"/>
          <w:szCs w:val="18"/>
        </w:rPr>
        <w:t>[46]</w:t>
      </w:r>
      <w:r w:rsidRPr="00CA332F">
        <w:rPr>
          <w:rFonts w:ascii="Times New Roman" w:hAnsi="Times New Roman" w:cs="Times New Roman"/>
          <w:bCs/>
          <w:color w:val="000000"/>
          <w:sz w:val="18"/>
          <w:szCs w:val="18"/>
        </w:rPr>
        <w:t xml:space="preserve">. However, previous studies have produced mixed results. While some studies, such as </w:t>
      </w:r>
      <w:r w:rsidR="000E7D6A">
        <w:rPr>
          <w:rFonts w:ascii="Times New Roman" w:hAnsi="Times New Roman" w:cs="Times New Roman"/>
          <w:bCs/>
          <w:color w:val="000000"/>
          <w:sz w:val="18"/>
          <w:szCs w:val="18"/>
        </w:rPr>
        <w:t>[26,</w:t>
      </w:r>
      <w:r w:rsidRPr="00CA332F">
        <w:rPr>
          <w:rFonts w:ascii="Times New Roman" w:hAnsi="Times New Roman" w:cs="Times New Roman"/>
          <w:bCs/>
          <w:color w:val="000000"/>
          <w:sz w:val="18"/>
          <w:szCs w:val="18"/>
        </w:rPr>
        <w:t xml:space="preserve"> </w:t>
      </w:r>
      <w:r w:rsidR="000E7D6A">
        <w:rPr>
          <w:rFonts w:ascii="Times New Roman" w:hAnsi="Times New Roman" w:cs="Times New Roman"/>
          <w:bCs/>
          <w:color w:val="000000"/>
          <w:sz w:val="18"/>
          <w:szCs w:val="18"/>
        </w:rPr>
        <w:t>27],</w:t>
      </w:r>
      <w:r w:rsidRPr="00CA332F">
        <w:rPr>
          <w:rFonts w:ascii="Times New Roman" w:hAnsi="Times New Roman" w:cs="Times New Roman"/>
          <w:bCs/>
          <w:color w:val="000000"/>
          <w:sz w:val="18"/>
          <w:szCs w:val="18"/>
        </w:rPr>
        <w:t xml:space="preserve"> found a positive association between gender diversity and voluntary disclosure, others, such as </w:t>
      </w:r>
      <w:r w:rsidR="007C05E7">
        <w:rPr>
          <w:rFonts w:ascii="Times New Roman" w:hAnsi="Times New Roman" w:cs="Times New Roman"/>
          <w:bCs/>
          <w:color w:val="000000"/>
          <w:sz w:val="18"/>
          <w:szCs w:val="18"/>
        </w:rPr>
        <w:t>[47</w:t>
      </w:r>
      <w:r w:rsidRPr="00CA332F">
        <w:rPr>
          <w:rFonts w:ascii="Times New Roman" w:hAnsi="Times New Roman" w:cs="Times New Roman"/>
          <w:bCs/>
          <w:color w:val="000000"/>
          <w:sz w:val="18"/>
          <w:szCs w:val="18"/>
        </w:rPr>
        <w:t>,</w:t>
      </w:r>
      <w:r w:rsidR="00923EC7">
        <w:rPr>
          <w:rFonts w:ascii="Times New Roman" w:hAnsi="Times New Roman" w:cs="Times New Roman"/>
          <w:bCs/>
          <w:color w:val="000000"/>
          <w:sz w:val="18"/>
          <w:szCs w:val="18"/>
        </w:rPr>
        <w:t>48]</w:t>
      </w:r>
      <w:r w:rsidRPr="00CA332F">
        <w:rPr>
          <w:rFonts w:ascii="Times New Roman" w:hAnsi="Times New Roman" w:cs="Times New Roman"/>
          <w:bCs/>
          <w:color w:val="000000"/>
          <w:sz w:val="18"/>
          <w:szCs w:val="18"/>
        </w:rPr>
        <w:t xml:space="preserve"> indicate a negative association. Based on the above discussion, the third hypothesis of this study is:</w:t>
      </w:r>
    </w:p>
    <w:p w14:paraId="6A689DE0" w14:textId="52DBF32F" w:rsidR="005A784E" w:rsidRPr="005A784E" w:rsidRDefault="005A784E" w:rsidP="00CA332F">
      <w:pPr>
        <w:bidi w:val="0"/>
        <w:jc w:val="both"/>
        <w:rPr>
          <w:rFonts w:ascii="Times New Roman" w:hAnsi="Times New Roman" w:cs="Times New Roman"/>
          <w:bCs/>
          <w:color w:val="000000"/>
          <w:sz w:val="18"/>
          <w:szCs w:val="18"/>
        </w:rPr>
      </w:pPr>
      <w:r w:rsidRPr="005A784E">
        <w:rPr>
          <w:rFonts w:ascii="Times New Roman" w:hAnsi="Times New Roman" w:cs="Times New Roman"/>
          <w:b/>
          <w:bCs/>
          <w:i/>
          <w:iCs/>
          <w:color w:val="000000"/>
          <w:sz w:val="18"/>
          <w:szCs w:val="18"/>
        </w:rPr>
        <w:t>H</w:t>
      </w:r>
      <w:r w:rsidR="009A4AB9">
        <w:rPr>
          <w:rFonts w:ascii="Times New Roman" w:hAnsi="Times New Roman" w:cs="Times New Roman"/>
          <w:b/>
          <w:bCs/>
          <w:i/>
          <w:iCs/>
          <w:color w:val="000000"/>
          <w:sz w:val="18"/>
          <w:szCs w:val="18"/>
        </w:rPr>
        <w:t>3</w:t>
      </w:r>
      <w:r w:rsidRPr="005A784E">
        <w:rPr>
          <w:rFonts w:ascii="Times New Roman" w:hAnsi="Times New Roman" w:cs="Times New Roman"/>
          <w:b/>
          <w:bCs/>
          <w:i/>
          <w:iCs/>
          <w:color w:val="000000"/>
          <w:sz w:val="18"/>
          <w:szCs w:val="18"/>
        </w:rPr>
        <w:t>:</w:t>
      </w:r>
      <w:r w:rsidRPr="005A784E">
        <w:rPr>
          <w:rFonts w:ascii="Times New Roman" w:hAnsi="Times New Roman" w:cs="Times New Roman"/>
          <w:bCs/>
          <w:i/>
          <w:iCs/>
          <w:color w:val="000000"/>
          <w:sz w:val="18"/>
          <w:szCs w:val="18"/>
        </w:rPr>
        <w:t xml:space="preserve"> There is a significant positive relationship between board gender and the level of voluntary disclosure in the annual reports of Palestinian companies listed on PEX</w:t>
      </w:r>
      <w:r w:rsidRPr="005A784E">
        <w:rPr>
          <w:rFonts w:ascii="Times New Roman" w:hAnsi="Times New Roman" w:cs="Times New Roman"/>
          <w:bCs/>
          <w:color w:val="000000"/>
          <w:sz w:val="18"/>
          <w:szCs w:val="18"/>
        </w:rPr>
        <w:t>.</w:t>
      </w:r>
    </w:p>
    <w:p w14:paraId="1D408711" w14:textId="0594D045" w:rsidR="00292EBF" w:rsidRPr="00EA4357" w:rsidRDefault="00094347" w:rsidP="00292EBF">
      <w:pPr>
        <w:keepNext/>
        <w:bidi w:val="0"/>
        <w:spacing w:after="0" w:line="240" w:lineRule="auto"/>
        <w:ind w:left="567" w:hanging="567"/>
        <w:jc w:val="both"/>
        <w:outlineLvl w:val="0"/>
        <w:rPr>
          <w:rFonts w:ascii="Times New Roman" w:hAnsi="Times New Roman" w:cs="Times New Roman"/>
          <w:b/>
          <w:color w:val="000000"/>
          <w:kern w:val="32"/>
          <w:sz w:val="18"/>
          <w:szCs w:val="18"/>
          <w:lang w:val="x-none" w:eastAsia="x-none"/>
        </w:rPr>
      </w:pPr>
      <w:r>
        <w:rPr>
          <w:rFonts w:ascii="Times New Roman" w:hAnsi="Times New Roman" w:cs="Times New Roman"/>
          <w:b/>
          <w:color w:val="000000"/>
          <w:kern w:val="32"/>
          <w:sz w:val="18"/>
          <w:szCs w:val="18"/>
          <w:lang w:val="en-GB" w:eastAsia="x-none"/>
        </w:rPr>
        <w:t xml:space="preserve">3. </w:t>
      </w:r>
      <w:r w:rsidR="00292EBF" w:rsidRPr="00EA4357">
        <w:rPr>
          <w:rFonts w:ascii="Times New Roman" w:hAnsi="Times New Roman" w:cs="Times New Roman"/>
          <w:b/>
          <w:color w:val="000000"/>
          <w:kern w:val="32"/>
          <w:sz w:val="18"/>
          <w:szCs w:val="18"/>
          <w:lang w:val="x-none" w:eastAsia="x-none"/>
        </w:rPr>
        <w:t>Methodology</w:t>
      </w:r>
    </w:p>
    <w:p w14:paraId="4F8A54D7" w14:textId="0A4EF522" w:rsidR="00292EBF" w:rsidRDefault="00610134" w:rsidP="00292EBF">
      <w:pPr>
        <w:bidi w:val="0"/>
        <w:jc w:val="both"/>
        <w:rPr>
          <w:rFonts w:ascii="Times New Roman" w:hAnsi="Times New Roman" w:cs="Times New Roman"/>
          <w:bCs/>
          <w:color w:val="000000"/>
          <w:sz w:val="18"/>
          <w:szCs w:val="18"/>
        </w:rPr>
      </w:pPr>
      <w:r>
        <w:rPr>
          <w:rFonts w:ascii="Times New Roman" w:hAnsi="Times New Roman" w:cs="Times New Roman"/>
          <w:b/>
          <w:bCs/>
          <w:color w:val="000000"/>
          <w:sz w:val="18"/>
          <w:szCs w:val="18"/>
        </w:rPr>
        <w:t xml:space="preserve">3.1. </w:t>
      </w:r>
      <w:r w:rsidR="00292EBF" w:rsidRPr="00292EBF">
        <w:rPr>
          <w:rFonts w:ascii="Times New Roman" w:hAnsi="Times New Roman" w:cs="Times New Roman"/>
          <w:b/>
          <w:bCs/>
          <w:color w:val="000000"/>
          <w:sz w:val="18"/>
          <w:szCs w:val="18"/>
        </w:rPr>
        <w:t>Population and Sample</w:t>
      </w:r>
    </w:p>
    <w:p w14:paraId="20D94D69" w14:textId="77777777" w:rsidR="007C05E7" w:rsidRDefault="00094347" w:rsidP="00094347">
      <w:pPr>
        <w:bidi w:val="0"/>
        <w:jc w:val="both"/>
        <w:rPr>
          <w:rFonts w:ascii="Times New Roman" w:hAnsi="Times New Roman" w:cs="Times New Roman"/>
          <w:bCs/>
          <w:color w:val="000000"/>
          <w:sz w:val="18"/>
          <w:szCs w:val="18"/>
        </w:rPr>
      </w:pPr>
      <w:r w:rsidRPr="00094347">
        <w:rPr>
          <w:rFonts w:ascii="Times New Roman" w:hAnsi="Times New Roman" w:cs="Times New Roman"/>
          <w:bCs/>
          <w:color w:val="000000"/>
          <w:sz w:val="18"/>
          <w:szCs w:val="18"/>
        </w:rPr>
        <w:t>This study</w:t>
      </w:r>
      <w:r w:rsidR="00B45FA3">
        <w:rPr>
          <w:rFonts w:ascii="Times New Roman" w:hAnsi="Times New Roman" w:cs="Times New Roman"/>
          <w:bCs/>
          <w:color w:val="000000"/>
          <w:sz w:val="18"/>
          <w:szCs w:val="18"/>
        </w:rPr>
        <w:t>’</w:t>
      </w:r>
      <w:r w:rsidRPr="00094347">
        <w:rPr>
          <w:rFonts w:ascii="Times New Roman" w:hAnsi="Times New Roman" w:cs="Times New Roman"/>
          <w:bCs/>
          <w:color w:val="000000"/>
          <w:sz w:val="18"/>
          <w:szCs w:val="18"/>
        </w:rPr>
        <w:t>s population co</w:t>
      </w:r>
      <w:r w:rsidR="00B45FA3">
        <w:rPr>
          <w:rFonts w:ascii="Times New Roman" w:hAnsi="Times New Roman" w:cs="Times New Roman"/>
          <w:bCs/>
          <w:color w:val="000000"/>
          <w:sz w:val="18"/>
          <w:szCs w:val="18"/>
        </w:rPr>
        <w:t>mprises</w:t>
      </w:r>
      <w:r w:rsidRPr="00094347">
        <w:rPr>
          <w:rFonts w:ascii="Times New Roman" w:hAnsi="Times New Roman" w:cs="Times New Roman"/>
          <w:bCs/>
          <w:color w:val="000000"/>
          <w:sz w:val="18"/>
          <w:szCs w:val="18"/>
        </w:rPr>
        <w:t xml:space="preserve"> all companies listed on the Palestine Exchange (PEX) between 2013 and 2017. The sample includes companies that meet two specific criteria: firstly, they must have been listed on the PEX during the stated period, and secondly, all necessary data on the company for that period must be available. As a result of these criteria, the sample comprises 45 companies, with a total of 225 firm-year observations. To gather the required data, this study relies on the </w:t>
      </w:r>
    </w:p>
    <w:p w14:paraId="13B9B648" w14:textId="4B7B6745" w:rsidR="00094347" w:rsidRDefault="00094347" w:rsidP="007C05E7">
      <w:pPr>
        <w:bidi w:val="0"/>
        <w:jc w:val="both"/>
        <w:rPr>
          <w:rFonts w:ascii="Times New Roman" w:hAnsi="Times New Roman" w:cs="Times New Roman"/>
          <w:bCs/>
          <w:color w:val="000000"/>
          <w:sz w:val="18"/>
          <w:szCs w:val="18"/>
        </w:rPr>
      </w:pPr>
      <w:r w:rsidRPr="00094347">
        <w:rPr>
          <w:rFonts w:ascii="Times New Roman" w:hAnsi="Times New Roman" w:cs="Times New Roman"/>
          <w:bCs/>
          <w:color w:val="000000"/>
          <w:sz w:val="18"/>
          <w:szCs w:val="18"/>
        </w:rPr>
        <w:t>annual reports of the sampled companies, which are publicly accessible on the PEX website.</w:t>
      </w:r>
    </w:p>
    <w:p w14:paraId="6D87B61F" w14:textId="66EF4111" w:rsidR="00292EBF" w:rsidRDefault="00610134" w:rsidP="00094347">
      <w:pPr>
        <w:bidi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3.2 </w:t>
      </w:r>
      <w:r w:rsidR="00DC3E81" w:rsidRPr="00DC3E81">
        <w:rPr>
          <w:rFonts w:ascii="Times New Roman" w:hAnsi="Times New Roman" w:cs="Times New Roman"/>
          <w:b/>
          <w:bCs/>
          <w:color w:val="000000"/>
          <w:sz w:val="18"/>
          <w:szCs w:val="18"/>
        </w:rPr>
        <w:t>Measurement of Variables</w:t>
      </w:r>
    </w:p>
    <w:p w14:paraId="0A62C471" w14:textId="77777777" w:rsidR="00292EBF" w:rsidRPr="007C329A" w:rsidRDefault="00DC3E81" w:rsidP="00DC3E81">
      <w:pPr>
        <w:bidi w:val="0"/>
        <w:jc w:val="both"/>
        <w:rPr>
          <w:rFonts w:ascii="Times New Roman" w:hAnsi="Times New Roman" w:cs="Times New Roman"/>
          <w:bCs/>
          <w:i/>
          <w:iCs/>
          <w:color w:val="000000"/>
          <w:sz w:val="18"/>
          <w:szCs w:val="18"/>
        </w:rPr>
      </w:pPr>
      <w:r w:rsidRPr="007C329A">
        <w:rPr>
          <w:rFonts w:ascii="Times New Roman" w:hAnsi="Times New Roman" w:cs="Times New Roman"/>
          <w:b/>
          <w:bCs/>
          <w:i/>
          <w:iCs/>
          <w:color w:val="000000"/>
          <w:sz w:val="18"/>
          <w:szCs w:val="18"/>
        </w:rPr>
        <w:t>The Dependent Variable: Voluntary Disclosure Index</w:t>
      </w:r>
    </w:p>
    <w:p w14:paraId="5AC6921B" w14:textId="34964BEA" w:rsidR="00094347" w:rsidRPr="00094347" w:rsidRDefault="00094347" w:rsidP="000C3AD0">
      <w:pPr>
        <w:bidi w:val="0"/>
        <w:jc w:val="both"/>
        <w:rPr>
          <w:rFonts w:ascii="Times New Roman" w:hAnsi="Times New Roman" w:cs="Times New Roman"/>
          <w:bCs/>
          <w:color w:val="000000"/>
          <w:sz w:val="18"/>
          <w:szCs w:val="18"/>
          <w:lang w:val="en-GB"/>
        </w:rPr>
      </w:pPr>
      <w:r w:rsidRPr="00094347">
        <w:rPr>
          <w:rFonts w:ascii="Times New Roman" w:hAnsi="Times New Roman" w:cs="Times New Roman"/>
          <w:bCs/>
          <w:color w:val="000000"/>
          <w:sz w:val="18"/>
          <w:szCs w:val="18"/>
          <w:lang w:val="en-GB"/>
        </w:rPr>
        <w:t>The dependent variable of this study is the level of voluntary disclosure. To measure voluntary disclosure, previous studies have employed various indices</w:t>
      </w:r>
      <w:r w:rsidR="00B45FA3">
        <w:rPr>
          <w:rFonts w:ascii="Times New Roman" w:hAnsi="Times New Roman" w:cs="Times New Roman"/>
          <w:bCs/>
          <w:color w:val="000000"/>
          <w:sz w:val="18"/>
          <w:szCs w:val="18"/>
          <w:lang w:val="en-GB"/>
        </w:rPr>
        <w:t>. F</w:t>
      </w:r>
      <w:r w:rsidRPr="00094347">
        <w:rPr>
          <w:rFonts w:ascii="Times New Roman" w:hAnsi="Times New Roman" w:cs="Times New Roman"/>
          <w:bCs/>
          <w:color w:val="000000"/>
          <w:sz w:val="18"/>
          <w:szCs w:val="18"/>
          <w:lang w:val="en-GB"/>
        </w:rPr>
        <w:t xml:space="preserve">or this study, a disclosure index was constructed by reviewing prior research such as </w:t>
      </w:r>
      <w:r w:rsidR="000C3AD0">
        <w:rPr>
          <w:rFonts w:ascii="Times New Roman" w:hAnsi="Times New Roman" w:cs="Times New Roman"/>
          <w:bCs/>
          <w:color w:val="000000"/>
          <w:sz w:val="18"/>
          <w:szCs w:val="18"/>
          <w:lang w:val="en-GB"/>
        </w:rPr>
        <w:t>[19,</w:t>
      </w:r>
      <w:r w:rsidR="006E4F16">
        <w:rPr>
          <w:rFonts w:ascii="Times New Roman" w:hAnsi="Times New Roman" w:cs="Times New Roman"/>
          <w:bCs/>
          <w:color w:val="000000"/>
          <w:sz w:val="18"/>
          <w:szCs w:val="18"/>
          <w:lang w:val="en-GB"/>
        </w:rPr>
        <w:t>22</w:t>
      </w:r>
      <w:r w:rsidRPr="00094347">
        <w:rPr>
          <w:rFonts w:ascii="Times New Roman" w:hAnsi="Times New Roman" w:cs="Times New Roman"/>
          <w:bCs/>
          <w:color w:val="000000"/>
          <w:sz w:val="18"/>
          <w:szCs w:val="18"/>
          <w:lang w:val="en-GB"/>
        </w:rPr>
        <w:t>,</w:t>
      </w:r>
      <w:r w:rsidR="000C3AD0">
        <w:rPr>
          <w:rFonts w:ascii="Times New Roman" w:hAnsi="Times New Roman" w:cs="Times New Roman"/>
          <w:bCs/>
          <w:color w:val="000000"/>
          <w:sz w:val="18"/>
          <w:szCs w:val="18"/>
          <w:lang w:val="en-GB"/>
        </w:rPr>
        <w:t>49,50</w:t>
      </w:r>
      <w:r w:rsidRPr="00094347">
        <w:rPr>
          <w:rFonts w:ascii="Times New Roman" w:hAnsi="Times New Roman" w:cs="Times New Roman"/>
          <w:bCs/>
          <w:color w:val="000000"/>
          <w:sz w:val="18"/>
          <w:szCs w:val="18"/>
          <w:lang w:val="en-GB"/>
        </w:rPr>
        <w:t>,</w:t>
      </w:r>
      <w:r w:rsidR="00522E60">
        <w:rPr>
          <w:rFonts w:ascii="Times New Roman" w:hAnsi="Times New Roman" w:cs="Times New Roman"/>
          <w:bCs/>
          <w:color w:val="000000"/>
          <w:sz w:val="18"/>
          <w:szCs w:val="18"/>
          <w:lang w:val="en-GB"/>
        </w:rPr>
        <w:t>51]</w:t>
      </w:r>
      <w:r w:rsidRPr="00094347">
        <w:rPr>
          <w:rFonts w:ascii="Times New Roman" w:hAnsi="Times New Roman" w:cs="Times New Roman"/>
          <w:bCs/>
          <w:color w:val="000000"/>
          <w:sz w:val="18"/>
          <w:szCs w:val="18"/>
          <w:lang w:val="en-GB"/>
        </w:rPr>
        <w:t>, in addition to considering the legal and regulatory requirements for publicly listed companies on the PEX. The disclosure index is composed of 55 items of voluntary information</w:t>
      </w:r>
      <w:r w:rsidR="00B45FA3">
        <w:rPr>
          <w:rFonts w:ascii="Times New Roman" w:hAnsi="Times New Roman" w:cs="Times New Roman"/>
          <w:bCs/>
          <w:color w:val="000000"/>
          <w:sz w:val="18"/>
          <w:szCs w:val="18"/>
          <w:lang w:val="en-GB"/>
        </w:rPr>
        <w:t>. It</w:t>
      </w:r>
      <w:r w:rsidRPr="00094347">
        <w:rPr>
          <w:rFonts w:ascii="Times New Roman" w:hAnsi="Times New Roman" w:cs="Times New Roman"/>
          <w:bCs/>
          <w:color w:val="000000"/>
          <w:sz w:val="18"/>
          <w:szCs w:val="18"/>
          <w:lang w:val="en-GB"/>
        </w:rPr>
        <w:t xml:space="preserve"> is categorized into five types: corporate and strategic information (CSI), financial and capital market data information (FCMI), directors and senior management information (DSMI), forward-looking information (FLI), and corporate social responsibility information (CSRI).</w:t>
      </w:r>
    </w:p>
    <w:p w14:paraId="0EDFF2F3" w14:textId="4403A84F" w:rsidR="00094347" w:rsidRPr="00094347" w:rsidRDefault="00094347" w:rsidP="009D18B8">
      <w:pPr>
        <w:bidi w:val="0"/>
        <w:jc w:val="both"/>
        <w:rPr>
          <w:rFonts w:ascii="Times New Roman" w:hAnsi="Times New Roman" w:cs="Times New Roman"/>
          <w:bCs/>
          <w:color w:val="000000"/>
          <w:sz w:val="18"/>
          <w:szCs w:val="18"/>
          <w:lang w:val="en-GB"/>
        </w:rPr>
      </w:pPr>
      <w:r w:rsidRPr="00094347">
        <w:rPr>
          <w:rFonts w:ascii="Times New Roman" w:hAnsi="Times New Roman" w:cs="Times New Roman"/>
          <w:bCs/>
          <w:color w:val="000000"/>
          <w:sz w:val="18"/>
          <w:szCs w:val="18"/>
          <w:lang w:val="en-GB"/>
        </w:rPr>
        <w:t>To avoid subjective evaluation, the disclosure score for each firm is additive and unweighted, following Cooke</w:t>
      </w:r>
      <w:r w:rsidR="00B45FA3">
        <w:rPr>
          <w:rFonts w:ascii="Times New Roman" w:hAnsi="Times New Roman" w:cs="Times New Roman"/>
          <w:bCs/>
          <w:color w:val="000000"/>
          <w:sz w:val="18"/>
          <w:szCs w:val="18"/>
          <w:lang w:val="en-GB"/>
        </w:rPr>
        <w:t>’</w:t>
      </w:r>
      <w:r w:rsidRPr="00094347">
        <w:rPr>
          <w:rFonts w:ascii="Times New Roman" w:hAnsi="Times New Roman" w:cs="Times New Roman"/>
          <w:bCs/>
          <w:color w:val="000000"/>
          <w:sz w:val="18"/>
          <w:szCs w:val="18"/>
          <w:lang w:val="en-GB"/>
        </w:rPr>
        <w:t xml:space="preserve">s </w:t>
      </w:r>
      <w:r w:rsidR="009D18B8" w:rsidRPr="00094347">
        <w:rPr>
          <w:rFonts w:ascii="Times New Roman" w:hAnsi="Times New Roman" w:cs="Times New Roman"/>
          <w:bCs/>
          <w:color w:val="000000"/>
          <w:sz w:val="18"/>
          <w:szCs w:val="18"/>
          <w:lang w:val="en-GB"/>
        </w:rPr>
        <w:t>approach</w:t>
      </w:r>
      <w:r w:rsidR="00522E60">
        <w:rPr>
          <w:rFonts w:ascii="Times New Roman" w:hAnsi="Times New Roman" w:cs="Times New Roman"/>
          <w:bCs/>
          <w:color w:val="000000"/>
          <w:sz w:val="18"/>
          <w:szCs w:val="18"/>
          <w:lang w:val="en-GB"/>
        </w:rPr>
        <w:t xml:space="preserve"> [52]</w:t>
      </w:r>
      <w:r w:rsidRPr="00094347">
        <w:rPr>
          <w:rFonts w:ascii="Times New Roman" w:hAnsi="Times New Roman" w:cs="Times New Roman"/>
          <w:bCs/>
          <w:color w:val="000000"/>
          <w:sz w:val="18"/>
          <w:szCs w:val="18"/>
          <w:lang w:val="en-GB"/>
        </w:rPr>
        <w:t xml:space="preserve">. The content analysis method </w:t>
      </w:r>
      <w:r w:rsidR="00B45FA3">
        <w:rPr>
          <w:rFonts w:ascii="Times New Roman" w:hAnsi="Times New Roman" w:cs="Times New Roman"/>
          <w:bCs/>
          <w:color w:val="000000"/>
          <w:sz w:val="18"/>
          <w:szCs w:val="18"/>
          <w:lang w:val="en-GB"/>
        </w:rPr>
        <w:t>examines each annual report and identifies</w:t>
      </w:r>
      <w:r w:rsidRPr="00094347">
        <w:rPr>
          <w:rFonts w:ascii="Times New Roman" w:hAnsi="Times New Roman" w:cs="Times New Roman"/>
          <w:bCs/>
          <w:color w:val="000000"/>
          <w:sz w:val="18"/>
          <w:szCs w:val="18"/>
          <w:lang w:val="en-GB"/>
        </w:rPr>
        <w:t xml:space="preserve"> the presence or absence of the disclosure items. The dummy procedure is then applied to compute the voluntary disclosure score for each annual report, assigning a score of one if an item is disclosed and zero if not. The disclosure score for each annual report is calculated by dividing the number of items reported by the firm by the total number of items in the VDI. The average voluntary disclosure for any annual report in a given year is obtained using the following formula:</w:t>
      </w:r>
    </w:p>
    <w:p w14:paraId="7DDB90D6" w14:textId="6B5065B0" w:rsidR="00C23061" w:rsidRPr="000E1C4C" w:rsidRDefault="000E1C4C" w:rsidP="00C23061">
      <w:pPr>
        <w:bidi w:val="0"/>
        <w:jc w:val="center"/>
        <w:rPr>
          <w:rFonts w:ascii="Times New Roman" w:hAnsi="Times New Roman" w:cs="Times New Roman"/>
          <w:b/>
          <w:bCs/>
          <w:color w:val="000000"/>
          <w:sz w:val="18"/>
          <w:szCs w:val="18"/>
        </w:rPr>
      </w:pPr>
      <w:r w:rsidRPr="000E1C4C">
        <w:rPr>
          <w:rFonts w:ascii="Times New Roman" w:hAnsi="Times New Roman" w:cs="Times New Roman"/>
          <w:b/>
          <w:bCs/>
          <w:color w:val="000000"/>
          <w:sz w:val="18"/>
          <w:szCs w:val="18"/>
        </w:rPr>
        <w:t>VDS = ∑ Points of (CSI, FCMI, DSMI, FLI and CSRI)/55</w:t>
      </w:r>
    </w:p>
    <w:p w14:paraId="4169B3F5" w14:textId="77777777" w:rsidR="00F77D8D" w:rsidRPr="007C329A" w:rsidRDefault="000E1C4C" w:rsidP="000E1C4C">
      <w:pPr>
        <w:bidi w:val="0"/>
        <w:jc w:val="both"/>
        <w:rPr>
          <w:rFonts w:ascii="Times New Roman" w:hAnsi="Times New Roman" w:cs="Times New Roman"/>
          <w:b/>
          <w:bCs/>
          <w:i/>
          <w:iCs/>
          <w:color w:val="000000"/>
          <w:sz w:val="18"/>
          <w:szCs w:val="18"/>
        </w:rPr>
      </w:pPr>
      <w:r w:rsidRPr="007C329A">
        <w:rPr>
          <w:rFonts w:ascii="Times New Roman" w:hAnsi="Times New Roman" w:cs="Times New Roman"/>
          <w:b/>
          <w:bCs/>
          <w:i/>
          <w:iCs/>
          <w:color w:val="000000"/>
          <w:sz w:val="18"/>
          <w:szCs w:val="18"/>
        </w:rPr>
        <w:t>Independent variables</w:t>
      </w:r>
    </w:p>
    <w:p w14:paraId="6FA43D4B" w14:textId="38BCE64C" w:rsidR="00094347" w:rsidRDefault="00094347" w:rsidP="00094347">
      <w:pPr>
        <w:bidi w:val="0"/>
        <w:spacing w:after="0"/>
        <w:jc w:val="both"/>
        <w:rPr>
          <w:rFonts w:ascii="Times New Roman" w:hAnsi="Times New Roman" w:cs="Times New Roman"/>
          <w:color w:val="000000"/>
          <w:sz w:val="18"/>
          <w:szCs w:val="18"/>
        </w:rPr>
      </w:pPr>
      <w:r w:rsidRPr="00094347">
        <w:rPr>
          <w:rFonts w:ascii="Times New Roman" w:hAnsi="Times New Roman" w:cs="Times New Roman"/>
          <w:color w:val="000000"/>
          <w:sz w:val="18"/>
          <w:szCs w:val="18"/>
        </w:rPr>
        <w:t>This study employs three independent variables</w:t>
      </w:r>
      <w:r w:rsidR="00B45FA3">
        <w:rPr>
          <w:rFonts w:ascii="Times New Roman" w:hAnsi="Times New Roman" w:cs="Times New Roman"/>
          <w:color w:val="000000"/>
          <w:sz w:val="18"/>
          <w:szCs w:val="18"/>
        </w:rPr>
        <w:t>:</w:t>
      </w:r>
      <w:r w:rsidRPr="00094347">
        <w:rPr>
          <w:rFonts w:ascii="Times New Roman" w:hAnsi="Times New Roman" w:cs="Times New Roman"/>
          <w:color w:val="000000"/>
          <w:sz w:val="18"/>
          <w:szCs w:val="18"/>
        </w:rPr>
        <w:t xml:space="preserve"> board size, board independence, and board gender diversity. Furthermore, four control variables are utilized, including firm size, financial leverage, firm performance, and firm age. Table 1 provides the operational definition of </w:t>
      </w:r>
      <w:r w:rsidR="00B45FA3">
        <w:rPr>
          <w:rFonts w:ascii="Times New Roman" w:hAnsi="Times New Roman" w:cs="Times New Roman"/>
          <w:color w:val="000000"/>
          <w:sz w:val="18"/>
          <w:szCs w:val="18"/>
        </w:rPr>
        <w:t>this study’s dependent and independent variables</w:t>
      </w:r>
      <w:r w:rsidRPr="00094347">
        <w:rPr>
          <w:rFonts w:ascii="Times New Roman" w:hAnsi="Times New Roman" w:cs="Times New Roman"/>
          <w:color w:val="000000"/>
          <w:sz w:val="18"/>
          <w:szCs w:val="18"/>
        </w:rPr>
        <w:t>.</w:t>
      </w:r>
    </w:p>
    <w:p w14:paraId="41DBB0B3" w14:textId="77777777" w:rsidR="00B45FA3" w:rsidRDefault="00B45FA3" w:rsidP="00B45FA3">
      <w:pPr>
        <w:bidi w:val="0"/>
        <w:spacing w:after="0"/>
        <w:jc w:val="both"/>
        <w:rPr>
          <w:rFonts w:ascii="Times New Roman" w:hAnsi="Times New Roman" w:cs="Times New Roman"/>
          <w:color w:val="000000"/>
          <w:sz w:val="18"/>
          <w:szCs w:val="18"/>
        </w:rPr>
      </w:pPr>
    </w:p>
    <w:p w14:paraId="48A7C58E" w14:textId="67F32827" w:rsidR="000E1C4C" w:rsidRPr="000E1C4C" w:rsidRDefault="000E1C4C" w:rsidP="00094347">
      <w:pPr>
        <w:bidi w:val="0"/>
        <w:spacing w:after="0"/>
        <w:jc w:val="both"/>
        <w:rPr>
          <w:rFonts w:ascii="Times New Roman" w:hAnsi="Times New Roman" w:cs="Times New Roman"/>
          <w:b/>
          <w:color w:val="000000"/>
          <w:sz w:val="18"/>
          <w:szCs w:val="18"/>
        </w:rPr>
      </w:pPr>
      <w:r w:rsidRPr="000E1C4C">
        <w:rPr>
          <w:rFonts w:ascii="Times New Roman" w:hAnsi="Times New Roman" w:cs="Times New Roman"/>
          <w:b/>
          <w:color w:val="000000"/>
          <w:sz w:val="18"/>
          <w:szCs w:val="18"/>
          <w:lang w:val="en-GB"/>
        </w:rPr>
        <w:t>Table</w:t>
      </w:r>
      <w:r>
        <w:rPr>
          <w:rFonts w:ascii="Times New Roman" w:hAnsi="Times New Roman" w:cs="Times New Roman"/>
          <w:b/>
          <w:color w:val="000000"/>
          <w:sz w:val="18"/>
          <w:szCs w:val="18"/>
          <w:lang w:val="en-GB"/>
        </w:rPr>
        <w:t xml:space="preserve"> 1</w:t>
      </w:r>
      <w:r w:rsidRPr="000E1C4C">
        <w:rPr>
          <w:rFonts w:ascii="Times New Roman" w:hAnsi="Times New Roman" w:cs="Times New Roman"/>
          <w:b/>
          <w:color w:val="000000"/>
          <w:sz w:val="18"/>
          <w:szCs w:val="18"/>
          <w:lang w:val="en-GB"/>
        </w:rPr>
        <w:t xml:space="preserve">: </w:t>
      </w:r>
      <w:r w:rsidRPr="000E1C4C">
        <w:rPr>
          <w:rFonts w:ascii="Times New Roman" w:hAnsi="Times New Roman" w:cs="Times New Roman"/>
          <w:b/>
          <w:color w:val="000000"/>
          <w:sz w:val="18"/>
          <w:szCs w:val="18"/>
        </w:rPr>
        <w:t xml:space="preserve">The definitions, </w:t>
      </w:r>
      <w:r w:rsidR="00B45FA3">
        <w:rPr>
          <w:rFonts w:ascii="Times New Roman" w:hAnsi="Times New Roman" w:cs="Times New Roman"/>
          <w:b/>
          <w:color w:val="000000"/>
          <w:sz w:val="18"/>
          <w:szCs w:val="18"/>
        </w:rPr>
        <w:t xml:space="preserve">and </w:t>
      </w:r>
      <w:r w:rsidRPr="000E1C4C">
        <w:rPr>
          <w:rFonts w:ascii="Times New Roman" w:hAnsi="Times New Roman" w:cs="Times New Roman"/>
          <w:b/>
          <w:color w:val="000000"/>
          <w:sz w:val="18"/>
          <w:szCs w:val="18"/>
        </w:rPr>
        <w:t xml:space="preserve">proxies, for the dependent, </w:t>
      </w:r>
      <w:r w:rsidR="003135C3" w:rsidRPr="000E1C4C">
        <w:rPr>
          <w:rFonts w:ascii="Times New Roman" w:hAnsi="Times New Roman" w:cs="Times New Roman"/>
          <w:b/>
          <w:color w:val="000000"/>
          <w:sz w:val="18"/>
          <w:szCs w:val="18"/>
        </w:rPr>
        <w:t>independent and</w:t>
      </w:r>
      <w:r w:rsidR="009A4AB9">
        <w:rPr>
          <w:rFonts w:ascii="Times New Roman" w:hAnsi="Times New Roman" w:cs="Times New Roman"/>
          <w:b/>
          <w:color w:val="000000"/>
          <w:sz w:val="18"/>
          <w:szCs w:val="18"/>
        </w:rPr>
        <w:t xml:space="preserve"> control variables</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285"/>
        <w:gridCol w:w="3425"/>
        <w:gridCol w:w="1670"/>
      </w:tblGrid>
      <w:tr w:rsidR="000E1C4C" w:rsidRPr="000E1C4C" w14:paraId="0BA2BC17" w14:textId="77777777" w:rsidTr="00414E90">
        <w:tc>
          <w:tcPr>
            <w:tcW w:w="1058" w:type="pct"/>
            <w:vAlign w:val="center"/>
          </w:tcPr>
          <w:p w14:paraId="6752ACCE" w14:textId="77777777" w:rsidR="000E1C4C" w:rsidRPr="000E1C4C" w:rsidRDefault="000E1C4C" w:rsidP="000E1C4C">
            <w:pPr>
              <w:bidi w:val="0"/>
              <w:jc w:val="both"/>
              <w:rPr>
                <w:rFonts w:ascii="Times New Roman" w:hAnsi="Times New Roman" w:cs="Times New Roman"/>
                <w:b/>
                <w:bCs/>
                <w:color w:val="000000"/>
                <w:sz w:val="18"/>
                <w:szCs w:val="18"/>
                <w:lang w:val="en-GB"/>
              </w:rPr>
            </w:pPr>
            <w:r w:rsidRPr="000E1C4C">
              <w:rPr>
                <w:rFonts w:ascii="Times New Roman" w:hAnsi="Times New Roman" w:cs="Times New Roman"/>
                <w:b/>
                <w:bCs/>
                <w:color w:val="000000"/>
                <w:sz w:val="18"/>
                <w:szCs w:val="18"/>
                <w:lang w:val="en-GB"/>
              </w:rPr>
              <w:t>Variable</w:t>
            </w:r>
          </w:p>
        </w:tc>
        <w:tc>
          <w:tcPr>
            <w:tcW w:w="794" w:type="pct"/>
            <w:vAlign w:val="center"/>
          </w:tcPr>
          <w:p w14:paraId="69BC3AF7" w14:textId="77777777" w:rsidR="000E1C4C" w:rsidRPr="000E1C4C" w:rsidRDefault="000E1C4C" w:rsidP="000E1C4C">
            <w:pPr>
              <w:bidi w:val="0"/>
              <w:jc w:val="both"/>
              <w:rPr>
                <w:rFonts w:ascii="Times New Roman" w:hAnsi="Times New Roman" w:cs="Times New Roman"/>
                <w:b/>
                <w:bCs/>
                <w:color w:val="000000"/>
                <w:sz w:val="18"/>
                <w:szCs w:val="18"/>
                <w:lang w:val="en-GB"/>
              </w:rPr>
            </w:pPr>
            <w:r w:rsidRPr="000E1C4C">
              <w:rPr>
                <w:rFonts w:ascii="Times New Roman" w:hAnsi="Times New Roman" w:cs="Times New Roman"/>
                <w:b/>
                <w:bCs/>
                <w:color w:val="000000"/>
                <w:sz w:val="18"/>
                <w:szCs w:val="18"/>
                <w:lang w:val="en-GB"/>
              </w:rPr>
              <w:t>Label</w:t>
            </w:r>
          </w:p>
        </w:tc>
        <w:tc>
          <w:tcPr>
            <w:tcW w:w="2116" w:type="pct"/>
            <w:vAlign w:val="center"/>
          </w:tcPr>
          <w:p w14:paraId="752F17A7" w14:textId="77777777" w:rsidR="000E1C4C" w:rsidRPr="000E1C4C" w:rsidRDefault="000E1C4C" w:rsidP="000E1C4C">
            <w:pPr>
              <w:bidi w:val="0"/>
              <w:jc w:val="both"/>
              <w:rPr>
                <w:rFonts w:ascii="Times New Roman" w:hAnsi="Times New Roman" w:cs="Times New Roman"/>
                <w:b/>
                <w:bCs/>
                <w:color w:val="000000"/>
                <w:sz w:val="18"/>
                <w:szCs w:val="18"/>
                <w:rtl/>
                <w:lang w:bidi="ar-EG"/>
              </w:rPr>
            </w:pPr>
            <w:r w:rsidRPr="000E1C4C">
              <w:rPr>
                <w:rFonts w:ascii="Times New Roman" w:hAnsi="Times New Roman" w:cs="Times New Roman"/>
                <w:b/>
                <w:bCs/>
                <w:color w:val="000000"/>
                <w:sz w:val="18"/>
                <w:szCs w:val="18"/>
                <w:lang w:val="en-GB"/>
              </w:rPr>
              <w:t>Operational Definition</w:t>
            </w:r>
          </w:p>
        </w:tc>
        <w:tc>
          <w:tcPr>
            <w:tcW w:w="1032" w:type="pct"/>
            <w:vAlign w:val="center"/>
          </w:tcPr>
          <w:p w14:paraId="2AAB6086" w14:textId="77777777" w:rsidR="000E1C4C" w:rsidRPr="000E1C4C" w:rsidRDefault="000E1C4C" w:rsidP="000E1C4C">
            <w:pPr>
              <w:bidi w:val="0"/>
              <w:jc w:val="both"/>
              <w:rPr>
                <w:rFonts w:ascii="Times New Roman" w:hAnsi="Times New Roman" w:cs="Times New Roman"/>
                <w:b/>
                <w:bCs/>
                <w:color w:val="000000"/>
                <w:sz w:val="18"/>
                <w:szCs w:val="18"/>
                <w:lang w:val="en-GB"/>
              </w:rPr>
            </w:pPr>
            <w:r w:rsidRPr="000E1C4C">
              <w:rPr>
                <w:rFonts w:ascii="Times New Roman" w:hAnsi="Times New Roman" w:cs="Times New Roman"/>
                <w:b/>
                <w:bCs/>
                <w:color w:val="000000"/>
                <w:sz w:val="18"/>
                <w:szCs w:val="18"/>
                <w:lang w:val="en-GB"/>
              </w:rPr>
              <w:t>Reference</w:t>
            </w:r>
          </w:p>
        </w:tc>
      </w:tr>
      <w:tr w:rsidR="000E1C4C" w:rsidRPr="000E1C4C" w14:paraId="3226F10A" w14:textId="77777777" w:rsidTr="00414E90">
        <w:trPr>
          <w:trHeight w:val="168"/>
        </w:trPr>
        <w:tc>
          <w:tcPr>
            <w:tcW w:w="1058" w:type="pct"/>
            <w:vAlign w:val="center"/>
          </w:tcPr>
          <w:p w14:paraId="7D1675CD"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lang w:val="en-GB"/>
              </w:rPr>
              <w:lastRenderedPageBreak/>
              <w:t>Voluntary Disclosure Index</w:t>
            </w:r>
          </w:p>
        </w:tc>
        <w:tc>
          <w:tcPr>
            <w:tcW w:w="794" w:type="pct"/>
            <w:vAlign w:val="center"/>
          </w:tcPr>
          <w:p w14:paraId="61B22332" w14:textId="77777777" w:rsidR="000E1C4C" w:rsidRPr="000E1C4C" w:rsidRDefault="000E1C4C" w:rsidP="000E1C4C">
            <w:pPr>
              <w:bidi w:val="0"/>
              <w:jc w:val="both"/>
              <w:rPr>
                <w:rFonts w:ascii="Times New Roman" w:hAnsi="Times New Roman" w:cs="Times New Roman"/>
                <w:i/>
                <w:iCs/>
                <w:color w:val="000000"/>
                <w:sz w:val="18"/>
                <w:szCs w:val="18"/>
                <w:lang w:val="en-GB"/>
              </w:rPr>
            </w:pPr>
            <w:r w:rsidRPr="000E1C4C">
              <w:rPr>
                <w:rFonts w:ascii="Times New Roman" w:hAnsi="Times New Roman" w:cs="Times New Roman"/>
                <w:color w:val="000000"/>
                <w:sz w:val="18"/>
                <w:szCs w:val="18"/>
              </w:rPr>
              <w:t>VDI</w:t>
            </w:r>
          </w:p>
        </w:tc>
        <w:tc>
          <w:tcPr>
            <w:tcW w:w="2116" w:type="pct"/>
            <w:vAlign w:val="center"/>
          </w:tcPr>
          <w:p w14:paraId="09FD1A65"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VDS = ∑ Points of (CSI, FCMI, DSMI, FLI and CSRI)/55</w:t>
            </w:r>
          </w:p>
        </w:tc>
        <w:tc>
          <w:tcPr>
            <w:tcW w:w="1032" w:type="pct"/>
            <w:vAlign w:val="center"/>
          </w:tcPr>
          <w:p w14:paraId="4DEA5761" w14:textId="08E275AF" w:rsidR="000E1C4C" w:rsidRPr="000E1C4C" w:rsidRDefault="000E7D6A" w:rsidP="000E1C4C">
            <w:pPr>
              <w:bidi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[22]</w:t>
            </w:r>
          </w:p>
        </w:tc>
      </w:tr>
      <w:tr w:rsidR="000E1C4C" w:rsidRPr="00FE17E9" w14:paraId="7E226F43" w14:textId="77777777" w:rsidTr="00414E90">
        <w:trPr>
          <w:trHeight w:val="56"/>
        </w:trPr>
        <w:tc>
          <w:tcPr>
            <w:tcW w:w="1058" w:type="pct"/>
            <w:vAlign w:val="center"/>
          </w:tcPr>
          <w:p w14:paraId="1AF9ED71"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Board Size</w:t>
            </w:r>
          </w:p>
        </w:tc>
        <w:tc>
          <w:tcPr>
            <w:tcW w:w="794" w:type="pct"/>
            <w:vAlign w:val="center"/>
          </w:tcPr>
          <w:p w14:paraId="0116D59B"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BSIZE</w:t>
            </w:r>
          </w:p>
        </w:tc>
        <w:tc>
          <w:tcPr>
            <w:tcW w:w="2116" w:type="pct"/>
            <w:vAlign w:val="center"/>
          </w:tcPr>
          <w:p w14:paraId="640D4EB5" w14:textId="12368634"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 xml:space="preserve">Number of </w:t>
            </w:r>
            <w:r w:rsidR="00B45FA3">
              <w:rPr>
                <w:rFonts w:ascii="Times New Roman" w:hAnsi="Times New Roman" w:cs="Times New Roman"/>
                <w:color w:val="000000"/>
                <w:sz w:val="18"/>
                <w:szCs w:val="18"/>
              </w:rPr>
              <w:t xml:space="preserve">the </w:t>
            </w:r>
            <w:r w:rsidRPr="000E1C4C">
              <w:rPr>
                <w:rFonts w:ascii="Times New Roman" w:hAnsi="Times New Roman" w:cs="Times New Roman"/>
                <w:color w:val="000000"/>
                <w:sz w:val="18"/>
                <w:szCs w:val="18"/>
              </w:rPr>
              <w:t>board of directors</w:t>
            </w:r>
          </w:p>
        </w:tc>
        <w:tc>
          <w:tcPr>
            <w:tcW w:w="1032" w:type="pct"/>
            <w:vAlign w:val="center"/>
          </w:tcPr>
          <w:p w14:paraId="6D9166D2" w14:textId="134DBB51" w:rsidR="000E1C4C" w:rsidRPr="00FE17E9" w:rsidRDefault="00522E60" w:rsidP="00D03689">
            <w:pPr>
              <w:bidi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w:t>
            </w:r>
            <w:r w:rsidR="00E806A4">
              <w:rPr>
                <w:rFonts w:ascii="Times New Roman" w:hAnsi="Times New Roman" w:cs="Times New Roman"/>
                <w:color w:val="000000"/>
                <w:sz w:val="18"/>
                <w:szCs w:val="18"/>
                <w:lang w:val="en-GB"/>
              </w:rPr>
              <w:t>3</w:t>
            </w:r>
            <w:r w:rsidR="00D03689">
              <w:rPr>
                <w:rFonts w:ascii="Times New Roman" w:hAnsi="Times New Roman" w:cs="Times New Roman"/>
                <w:color w:val="000000"/>
                <w:sz w:val="18"/>
                <w:szCs w:val="18"/>
                <w:lang w:val="en-GB"/>
              </w:rPr>
              <w:t>7</w:t>
            </w:r>
            <w:r>
              <w:rPr>
                <w:rFonts w:ascii="Times New Roman" w:hAnsi="Times New Roman" w:cs="Times New Roman"/>
                <w:color w:val="000000"/>
                <w:sz w:val="18"/>
                <w:szCs w:val="18"/>
                <w:lang w:val="en-GB"/>
              </w:rPr>
              <w:t>, 53, 54]</w:t>
            </w:r>
          </w:p>
        </w:tc>
      </w:tr>
      <w:tr w:rsidR="000E1C4C" w:rsidRPr="000E1C4C" w14:paraId="43D3224E" w14:textId="77777777" w:rsidTr="00414E90">
        <w:trPr>
          <w:trHeight w:val="804"/>
        </w:trPr>
        <w:tc>
          <w:tcPr>
            <w:tcW w:w="1058" w:type="pct"/>
            <w:vAlign w:val="center"/>
          </w:tcPr>
          <w:p w14:paraId="0A13499D"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rPr>
              <w:t>Board independence</w:t>
            </w:r>
          </w:p>
        </w:tc>
        <w:tc>
          <w:tcPr>
            <w:tcW w:w="794" w:type="pct"/>
            <w:vAlign w:val="center"/>
          </w:tcPr>
          <w:p w14:paraId="20FBD1A5"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BIND</w:t>
            </w:r>
          </w:p>
        </w:tc>
        <w:tc>
          <w:tcPr>
            <w:tcW w:w="2116" w:type="pct"/>
            <w:vAlign w:val="center"/>
          </w:tcPr>
          <w:p w14:paraId="77A676F6"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Percentage of independent directors on the board.</w:t>
            </w:r>
          </w:p>
        </w:tc>
        <w:tc>
          <w:tcPr>
            <w:tcW w:w="1032" w:type="pct"/>
            <w:vAlign w:val="center"/>
          </w:tcPr>
          <w:p w14:paraId="482EBB45" w14:textId="5466AB0F" w:rsidR="000E1C4C" w:rsidRPr="000E1C4C" w:rsidRDefault="00522E60" w:rsidP="000E1C4C">
            <w:pPr>
              <w:bidi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[55]</w:t>
            </w:r>
          </w:p>
        </w:tc>
      </w:tr>
      <w:tr w:rsidR="000E1C4C" w:rsidRPr="000E1C4C" w14:paraId="263F5586" w14:textId="77777777" w:rsidTr="00414E90">
        <w:tc>
          <w:tcPr>
            <w:tcW w:w="1058" w:type="pct"/>
            <w:vAlign w:val="center"/>
          </w:tcPr>
          <w:p w14:paraId="158D7050"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rPr>
              <w:t>Board Gender Diversity</w:t>
            </w:r>
          </w:p>
        </w:tc>
        <w:tc>
          <w:tcPr>
            <w:tcW w:w="794" w:type="pct"/>
            <w:vAlign w:val="center"/>
          </w:tcPr>
          <w:p w14:paraId="6E1A74FE"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lang w:val="en-GB"/>
              </w:rPr>
              <w:t>BGED</w:t>
            </w:r>
          </w:p>
        </w:tc>
        <w:tc>
          <w:tcPr>
            <w:tcW w:w="2116" w:type="pct"/>
            <w:vAlign w:val="center"/>
          </w:tcPr>
          <w:p w14:paraId="08071C81"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Percentage of female directors on the board.</w:t>
            </w:r>
          </w:p>
        </w:tc>
        <w:tc>
          <w:tcPr>
            <w:tcW w:w="1032" w:type="pct"/>
            <w:vAlign w:val="center"/>
          </w:tcPr>
          <w:p w14:paraId="13DD2774" w14:textId="283F695C" w:rsidR="000E1C4C" w:rsidRPr="000E1C4C" w:rsidRDefault="007C05E7" w:rsidP="000E1C4C">
            <w:pPr>
              <w:bidi w:val="0"/>
              <w:jc w:val="both"/>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0E1C4C" w:rsidRPr="000E1C4C" w14:paraId="75B6C0DC" w14:textId="77777777" w:rsidTr="00414E90">
        <w:tc>
          <w:tcPr>
            <w:tcW w:w="1058" w:type="pct"/>
            <w:vAlign w:val="center"/>
          </w:tcPr>
          <w:p w14:paraId="7EF61372"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rPr>
              <w:t>Firm Size</w:t>
            </w:r>
          </w:p>
        </w:tc>
        <w:tc>
          <w:tcPr>
            <w:tcW w:w="794" w:type="pct"/>
            <w:vAlign w:val="center"/>
          </w:tcPr>
          <w:p w14:paraId="4154ED1B" w14:textId="77777777" w:rsidR="000E1C4C" w:rsidRPr="000E1C4C" w:rsidRDefault="000E1C4C" w:rsidP="000E1C4C">
            <w:pPr>
              <w:bidi w:val="0"/>
              <w:jc w:val="both"/>
              <w:rPr>
                <w:rFonts w:ascii="Times New Roman" w:hAnsi="Times New Roman" w:cs="Times New Roman"/>
                <w:i/>
                <w:iCs/>
                <w:color w:val="000000"/>
                <w:sz w:val="18"/>
                <w:szCs w:val="18"/>
                <w:lang w:val="en-GB"/>
              </w:rPr>
            </w:pPr>
            <w:r w:rsidRPr="000E1C4C">
              <w:rPr>
                <w:rFonts w:ascii="Times New Roman" w:hAnsi="Times New Roman" w:cs="Times New Roman"/>
                <w:color w:val="000000"/>
                <w:sz w:val="18"/>
                <w:szCs w:val="18"/>
              </w:rPr>
              <w:t>FSIZE</w:t>
            </w:r>
          </w:p>
        </w:tc>
        <w:tc>
          <w:tcPr>
            <w:tcW w:w="2116" w:type="pct"/>
            <w:vAlign w:val="center"/>
          </w:tcPr>
          <w:p w14:paraId="721905D7" w14:textId="24169A9F"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lang w:val="en-GB"/>
              </w:rPr>
              <w:t xml:space="preserve">The </w:t>
            </w:r>
            <w:r w:rsidRPr="000E1C4C">
              <w:rPr>
                <w:rFonts w:ascii="Times New Roman" w:hAnsi="Times New Roman" w:cs="Times New Roman"/>
                <w:color w:val="000000"/>
                <w:sz w:val="18"/>
                <w:szCs w:val="18"/>
              </w:rPr>
              <w:t>logarithm</w:t>
            </w:r>
            <w:r w:rsidRPr="000E1C4C">
              <w:rPr>
                <w:rFonts w:ascii="Times New Roman" w:hAnsi="Times New Roman" w:cs="Times New Roman"/>
                <w:color w:val="000000"/>
                <w:sz w:val="18"/>
                <w:szCs w:val="18"/>
                <w:lang w:val="en-GB"/>
              </w:rPr>
              <w:t xml:space="preserve"> of </w:t>
            </w:r>
            <w:r w:rsidR="00B45FA3">
              <w:rPr>
                <w:rFonts w:ascii="Times New Roman" w:hAnsi="Times New Roman" w:cs="Times New Roman"/>
                <w:color w:val="000000"/>
                <w:sz w:val="18"/>
                <w:szCs w:val="18"/>
                <w:lang w:val="en-GB"/>
              </w:rPr>
              <w:t xml:space="preserve">the </w:t>
            </w:r>
            <w:r w:rsidRPr="000E1C4C">
              <w:rPr>
                <w:rFonts w:ascii="Times New Roman" w:hAnsi="Times New Roman" w:cs="Times New Roman"/>
                <w:color w:val="000000"/>
                <w:sz w:val="18"/>
                <w:szCs w:val="18"/>
                <w:lang w:val="en-GB"/>
              </w:rPr>
              <w:t>total assets of the firm.</w:t>
            </w:r>
          </w:p>
        </w:tc>
        <w:tc>
          <w:tcPr>
            <w:tcW w:w="1032" w:type="pct"/>
            <w:vAlign w:val="center"/>
          </w:tcPr>
          <w:p w14:paraId="4501EB90" w14:textId="0ECB7A40" w:rsidR="000E1C4C" w:rsidRPr="000E1C4C" w:rsidRDefault="000C3AD0" w:rsidP="000E1C4C">
            <w:pPr>
              <w:bidi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rPr>
              <w:t>[50</w:t>
            </w:r>
            <w:r w:rsidR="00D645B8">
              <w:rPr>
                <w:rFonts w:ascii="Times New Roman" w:hAnsi="Times New Roman" w:cs="Times New Roman"/>
                <w:color w:val="000000"/>
                <w:sz w:val="18"/>
                <w:szCs w:val="18"/>
              </w:rPr>
              <w:t>,65</w:t>
            </w:r>
            <w:r>
              <w:rPr>
                <w:rFonts w:ascii="Times New Roman" w:hAnsi="Times New Roman" w:cs="Times New Roman"/>
                <w:color w:val="000000"/>
                <w:sz w:val="18"/>
                <w:szCs w:val="18"/>
              </w:rPr>
              <w:t>]</w:t>
            </w:r>
          </w:p>
        </w:tc>
      </w:tr>
      <w:tr w:rsidR="000E1C4C" w:rsidRPr="000E1C4C" w14:paraId="011EB3C1" w14:textId="77777777" w:rsidTr="00414E90">
        <w:tc>
          <w:tcPr>
            <w:tcW w:w="1058" w:type="pct"/>
            <w:vAlign w:val="center"/>
          </w:tcPr>
          <w:p w14:paraId="7F11B80C"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lang w:val="en-GB"/>
              </w:rPr>
              <w:t>Financial Leverage</w:t>
            </w:r>
          </w:p>
        </w:tc>
        <w:tc>
          <w:tcPr>
            <w:tcW w:w="794" w:type="pct"/>
            <w:vAlign w:val="center"/>
          </w:tcPr>
          <w:p w14:paraId="65CE9593" w14:textId="77777777" w:rsidR="000E1C4C" w:rsidRPr="000E1C4C" w:rsidRDefault="000E1C4C" w:rsidP="000E1C4C">
            <w:pPr>
              <w:bidi w:val="0"/>
              <w:jc w:val="both"/>
              <w:rPr>
                <w:rFonts w:ascii="Times New Roman" w:hAnsi="Times New Roman" w:cs="Times New Roman"/>
                <w:i/>
                <w:iCs/>
                <w:color w:val="000000"/>
                <w:sz w:val="18"/>
                <w:szCs w:val="18"/>
                <w:lang w:val="en-GB"/>
              </w:rPr>
            </w:pPr>
            <w:r w:rsidRPr="000E1C4C">
              <w:rPr>
                <w:rFonts w:ascii="Times New Roman" w:hAnsi="Times New Roman" w:cs="Times New Roman"/>
                <w:color w:val="000000"/>
                <w:sz w:val="18"/>
                <w:szCs w:val="18"/>
              </w:rPr>
              <w:t>FLEV</w:t>
            </w:r>
          </w:p>
        </w:tc>
        <w:tc>
          <w:tcPr>
            <w:tcW w:w="2116" w:type="pct"/>
            <w:vAlign w:val="center"/>
          </w:tcPr>
          <w:p w14:paraId="414D13ED"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lang w:val="en-GB"/>
              </w:rPr>
              <w:t>The total debt to total assets.</w:t>
            </w:r>
          </w:p>
        </w:tc>
        <w:tc>
          <w:tcPr>
            <w:tcW w:w="1032" w:type="pct"/>
            <w:vAlign w:val="center"/>
          </w:tcPr>
          <w:p w14:paraId="450237AD" w14:textId="18DEE4AB" w:rsidR="000E1C4C" w:rsidRPr="000E1C4C" w:rsidRDefault="006E4F16" w:rsidP="000E1C4C">
            <w:pPr>
              <w:bidi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rPr>
              <w:t>[19]</w:t>
            </w:r>
          </w:p>
        </w:tc>
      </w:tr>
      <w:tr w:rsidR="000E1C4C" w:rsidRPr="000E1C4C" w14:paraId="579CF6A0" w14:textId="77777777" w:rsidTr="00414E90">
        <w:tc>
          <w:tcPr>
            <w:tcW w:w="1058" w:type="pct"/>
            <w:vAlign w:val="center"/>
          </w:tcPr>
          <w:p w14:paraId="11E2A6AB"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rPr>
              <w:t>Firm Profitability</w:t>
            </w:r>
          </w:p>
        </w:tc>
        <w:tc>
          <w:tcPr>
            <w:tcW w:w="794" w:type="pct"/>
            <w:vAlign w:val="center"/>
          </w:tcPr>
          <w:p w14:paraId="3F20A066"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PROF</w:t>
            </w:r>
          </w:p>
        </w:tc>
        <w:tc>
          <w:tcPr>
            <w:tcW w:w="2116" w:type="pct"/>
            <w:vAlign w:val="center"/>
          </w:tcPr>
          <w:p w14:paraId="61B649D3"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Return on assets (ROA): Net income / Total Assets.</w:t>
            </w:r>
          </w:p>
        </w:tc>
        <w:tc>
          <w:tcPr>
            <w:tcW w:w="1032" w:type="pct"/>
            <w:vAlign w:val="center"/>
          </w:tcPr>
          <w:p w14:paraId="293B00DD" w14:textId="69440123" w:rsidR="000E1C4C" w:rsidRPr="000E1C4C" w:rsidRDefault="00016EC9" w:rsidP="000E1C4C">
            <w:pPr>
              <w:bidi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rPr>
              <w:t>[3]</w:t>
            </w:r>
          </w:p>
        </w:tc>
      </w:tr>
      <w:tr w:rsidR="000E1C4C" w:rsidRPr="000E1C4C" w14:paraId="36EEBEBF" w14:textId="77777777" w:rsidTr="00414E90">
        <w:tc>
          <w:tcPr>
            <w:tcW w:w="1058" w:type="pct"/>
            <w:vAlign w:val="center"/>
          </w:tcPr>
          <w:p w14:paraId="0EC52028" w14:textId="77777777" w:rsidR="000E1C4C" w:rsidRPr="000E1C4C" w:rsidRDefault="000E1C4C" w:rsidP="000E1C4C">
            <w:pPr>
              <w:bidi w:val="0"/>
              <w:jc w:val="both"/>
              <w:rPr>
                <w:rFonts w:ascii="Times New Roman" w:hAnsi="Times New Roman" w:cs="Times New Roman"/>
                <w:color w:val="000000"/>
                <w:sz w:val="18"/>
                <w:szCs w:val="18"/>
                <w:lang w:val="en-GB"/>
              </w:rPr>
            </w:pPr>
            <w:r w:rsidRPr="000E1C4C">
              <w:rPr>
                <w:rFonts w:ascii="Times New Roman" w:hAnsi="Times New Roman" w:cs="Times New Roman"/>
                <w:color w:val="000000"/>
                <w:sz w:val="18"/>
                <w:szCs w:val="18"/>
                <w:lang w:val="en-GB"/>
              </w:rPr>
              <w:t>Firm Age</w:t>
            </w:r>
          </w:p>
        </w:tc>
        <w:tc>
          <w:tcPr>
            <w:tcW w:w="794" w:type="pct"/>
            <w:vAlign w:val="center"/>
          </w:tcPr>
          <w:p w14:paraId="3B6F4F76" w14:textId="77777777"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FAGE</w:t>
            </w:r>
          </w:p>
        </w:tc>
        <w:tc>
          <w:tcPr>
            <w:tcW w:w="2116" w:type="pct"/>
            <w:vAlign w:val="center"/>
          </w:tcPr>
          <w:p w14:paraId="38482CCC" w14:textId="4368D415" w:rsidR="000E1C4C" w:rsidRPr="000E1C4C" w:rsidRDefault="000E1C4C" w:rsidP="000E1C4C">
            <w:pPr>
              <w:bidi w:val="0"/>
              <w:jc w:val="both"/>
              <w:rPr>
                <w:rFonts w:ascii="Times New Roman" w:hAnsi="Times New Roman" w:cs="Times New Roman"/>
                <w:color w:val="000000"/>
                <w:sz w:val="18"/>
                <w:szCs w:val="18"/>
              </w:rPr>
            </w:pPr>
            <w:r w:rsidRPr="000E1C4C">
              <w:rPr>
                <w:rFonts w:ascii="Times New Roman" w:hAnsi="Times New Roman" w:cs="Times New Roman"/>
                <w:color w:val="000000"/>
                <w:sz w:val="18"/>
                <w:szCs w:val="18"/>
              </w:rPr>
              <w:t xml:space="preserve">The logarithm of the number </w:t>
            </w:r>
            <w:r w:rsidR="003135C3" w:rsidRPr="000E1C4C">
              <w:rPr>
                <w:rFonts w:ascii="Times New Roman" w:hAnsi="Times New Roman" w:cs="Times New Roman"/>
                <w:color w:val="000000"/>
                <w:sz w:val="18"/>
                <w:szCs w:val="18"/>
              </w:rPr>
              <w:t>of years</w:t>
            </w:r>
            <w:r w:rsidRPr="000E1C4C">
              <w:rPr>
                <w:rFonts w:ascii="Times New Roman" w:hAnsi="Times New Roman" w:cs="Times New Roman"/>
                <w:color w:val="000000"/>
                <w:sz w:val="18"/>
                <w:szCs w:val="18"/>
              </w:rPr>
              <w:t xml:space="preserve"> since the establishment</w:t>
            </w:r>
          </w:p>
        </w:tc>
        <w:tc>
          <w:tcPr>
            <w:tcW w:w="1032" w:type="pct"/>
            <w:vAlign w:val="center"/>
          </w:tcPr>
          <w:p w14:paraId="43EB5A29" w14:textId="4976F328" w:rsidR="000E1C4C" w:rsidRPr="000E1C4C" w:rsidRDefault="000C3AD0" w:rsidP="000E1C4C">
            <w:pPr>
              <w:bidi w:val="0"/>
              <w:jc w:val="both"/>
              <w:rPr>
                <w:rFonts w:ascii="Times New Roman" w:hAnsi="Times New Roman" w:cs="Times New Roman"/>
                <w:color w:val="000000"/>
                <w:sz w:val="18"/>
                <w:szCs w:val="18"/>
              </w:rPr>
            </w:pPr>
            <w:r>
              <w:rPr>
                <w:rFonts w:ascii="Times New Roman" w:hAnsi="Times New Roman" w:cs="Times New Roman"/>
                <w:color w:val="000000"/>
                <w:sz w:val="18"/>
                <w:szCs w:val="18"/>
              </w:rPr>
              <w:t>[50</w:t>
            </w:r>
            <w:r w:rsidR="00D645B8">
              <w:rPr>
                <w:rFonts w:ascii="Times New Roman" w:hAnsi="Times New Roman" w:cs="Times New Roman"/>
                <w:color w:val="000000"/>
                <w:sz w:val="18"/>
                <w:szCs w:val="18"/>
              </w:rPr>
              <w:t>,64</w:t>
            </w:r>
            <w:r>
              <w:rPr>
                <w:rFonts w:ascii="Times New Roman" w:hAnsi="Times New Roman" w:cs="Times New Roman"/>
                <w:color w:val="000000"/>
                <w:sz w:val="18"/>
                <w:szCs w:val="18"/>
              </w:rPr>
              <w:t>]</w:t>
            </w:r>
          </w:p>
        </w:tc>
      </w:tr>
    </w:tbl>
    <w:p w14:paraId="001875CA" w14:textId="77777777" w:rsidR="000E1C4C" w:rsidRDefault="000E1C4C" w:rsidP="000E1C4C">
      <w:pPr>
        <w:bidi w:val="0"/>
        <w:jc w:val="both"/>
        <w:rPr>
          <w:rFonts w:ascii="Times New Roman" w:hAnsi="Times New Roman" w:cs="Times New Roman"/>
          <w:color w:val="000000"/>
          <w:sz w:val="18"/>
          <w:szCs w:val="18"/>
        </w:rPr>
      </w:pPr>
    </w:p>
    <w:p w14:paraId="456B760A" w14:textId="52C70D92" w:rsidR="000E1C4C" w:rsidRDefault="00610134" w:rsidP="000E1C4C">
      <w:pPr>
        <w:bidi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3.3 </w:t>
      </w:r>
      <w:r w:rsidR="000E1C4C" w:rsidRPr="000E1C4C">
        <w:rPr>
          <w:rFonts w:ascii="Times New Roman" w:hAnsi="Times New Roman" w:cs="Times New Roman"/>
          <w:b/>
          <w:bCs/>
          <w:color w:val="000000"/>
          <w:sz w:val="18"/>
          <w:szCs w:val="18"/>
        </w:rPr>
        <w:t>The Regression Model</w:t>
      </w:r>
    </w:p>
    <w:p w14:paraId="38E723A8" w14:textId="77777777" w:rsidR="00094347" w:rsidRDefault="00094347" w:rsidP="00094347">
      <w:pPr>
        <w:bidi w:val="0"/>
        <w:jc w:val="both"/>
        <w:rPr>
          <w:rFonts w:ascii="Times New Roman" w:hAnsi="Times New Roman" w:cs="Times New Roman"/>
          <w:color w:val="000000"/>
          <w:sz w:val="18"/>
          <w:szCs w:val="18"/>
        </w:rPr>
      </w:pPr>
      <w:r w:rsidRPr="00094347">
        <w:rPr>
          <w:rFonts w:ascii="Times New Roman" w:hAnsi="Times New Roman" w:cs="Times New Roman"/>
          <w:color w:val="000000"/>
          <w:sz w:val="18"/>
          <w:szCs w:val="18"/>
        </w:rPr>
        <w:t>In order to examine the impact of board characteristics on the level of voluntary disclosure in the annual reports of Palestinian companies listed on the Palestine Exchange (PEX) between 2013 and 2017, the following multiple regression model was developed:</w:t>
      </w:r>
    </w:p>
    <w:p w14:paraId="6F4B9BD2" w14:textId="197F04C8" w:rsidR="000E1C4C" w:rsidRPr="000E1C4C" w:rsidRDefault="00B8441B" w:rsidP="00094347">
      <w:pPr>
        <w:bidi w:val="0"/>
        <w:jc w:val="both"/>
        <w:rPr>
          <w:rFonts w:ascii="Times New Roman" w:hAnsi="Times New Roman" w:cs="Times New Roman"/>
          <w:color w:val="000000"/>
          <w:sz w:val="18"/>
          <w:szCs w:val="18"/>
          <w:lang w:val="en-GB"/>
        </w:rPr>
      </w:pPr>
      <m:oMathPara>
        <m:oMath>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rPr>
                <m:t>VDI</m:t>
              </m:r>
            </m:e>
            <m:sub>
              <m:r>
                <w:rPr>
                  <w:rFonts w:ascii="Cambria Math" w:hAnsi="Cambria Math" w:cs="Times New Roman"/>
                  <w:color w:val="000000"/>
                  <w:sz w:val="18"/>
                  <w:szCs w:val="18"/>
                  <w:lang w:val="en-GB"/>
                </w:rPr>
                <m:t>t</m:t>
              </m:r>
            </m:sub>
          </m:sSub>
          <m:r>
            <w:rPr>
              <w:rFonts w:ascii="Cambria Math" w:hAnsi="Cambria Math" w:cs="Times New Roman"/>
              <w:color w:val="000000"/>
              <w:sz w:val="18"/>
              <w:szCs w:val="18"/>
              <w:lang w:val="en-GB"/>
            </w:rPr>
            <m:t>=β0+</m:t>
          </m:r>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β</m:t>
              </m:r>
            </m:e>
            <m:sub>
              <m:r>
                <m:rPr>
                  <m:sty m:val="p"/>
                </m:rPr>
                <w:rPr>
                  <w:rFonts w:ascii="Cambria Math" w:hAnsi="Cambria Math" w:cs="Times New Roman"/>
                  <w:color w:val="000000"/>
                  <w:sz w:val="18"/>
                  <w:szCs w:val="18"/>
                  <w:lang w:val="en-GB"/>
                </w:rPr>
                <m:t>1</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BSIZE</m:t>
              </m:r>
            </m:e>
            <m:sub>
              <m:r>
                <w:rPr>
                  <w:rFonts w:ascii="Cambria Math" w:hAnsi="Cambria Math" w:cs="Times New Roman"/>
                  <w:color w:val="000000"/>
                  <w:sz w:val="18"/>
                  <w:szCs w:val="18"/>
                  <w:lang w:val="en-GB"/>
                </w:rPr>
                <m:t>t</m:t>
              </m:r>
            </m:sub>
          </m:sSub>
          <m:r>
            <w:rPr>
              <w:rFonts w:ascii="Cambria Math" w:hAnsi="Cambria Math" w:cs="Times New Roman"/>
              <w:color w:val="000000"/>
              <w:sz w:val="18"/>
              <w:szCs w:val="18"/>
              <w:lang w:val="en-GB"/>
            </w:rPr>
            <m:t>+</m:t>
          </m:r>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β</m:t>
              </m:r>
            </m:e>
            <m:sub>
              <m:r>
                <m:rPr>
                  <m:sty m:val="p"/>
                </m:rPr>
                <w:rPr>
                  <w:rFonts w:ascii="Cambria Math" w:hAnsi="Cambria Math" w:cs="Times New Roman"/>
                  <w:color w:val="000000"/>
                  <w:sz w:val="18"/>
                  <w:szCs w:val="18"/>
                  <w:lang w:val="en-GB"/>
                </w:rPr>
                <m:t>2</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BIND</m:t>
              </m:r>
            </m:e>
            <m:sub>
              <m:r>
                <w:rPr>
                  <w:rFonts w:ascii="Cambria Math" w:hAnsi="Cambria Math" w:cs="Times New Roman"/>
                  <w:color w:val="000000"/>
                  <w:sz w:val="18"/>
                  <w:szCs w:val="18"/>
                  <w:lang w:val="en-GB"/>
                </w:rPr>
                <m:t>t</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+β</m:t>
              </m:r>
            </m:e>
            <m:sub>
              <m:r>
                <m:rPr>
                  <m:sty m:val="p"/>
                </m:rPr>
                <w:rPr>
                  <w:rFonts w:ascii="Cambria Math" w:hAnsi="Cambria Math" w:cs="Times New Roman"/>
                  <w:color w:val="000000"/>
                  <w:sz w:val="18"/>
                  <w:szCs w:val="18"/>
                  <w:lang w:val="en-GB"/>
                </w:rPr>
                <m:t>3</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BGED</m:t>
              </m:r>
            </m:e>
            <m:sub>
              <m:r>
                <w:rPr>
                  <w:rFonts w:ascii="Cambria Math" w:hAnsi="Cambria Math" w:cs="Times New Roman"/>
                  <w:color w:val="000000"/>
                  <w:sz w:val="18"/>
                  <w:szCs w:val="18"/>
                  <w:lang w:val="en-GB"/>
                </w:rPr>
                <m:t>t</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+β</m:t>
              </m:r>
            </m:e>
            <m:sub>
              <m:r>
                <m:rPr>
                  <m:sty m:val="p"/>
                </m:rPr>
                <w:rPr>
                  <w:rFonts w:ascii="Cambria Math" w:hAnsi="Cambria Math" w:cs="Times New Roman"/>
                  <w:color w:val="000000"/>
                  <w:sz w:val="18"/>
                  <w:szCs w:val="18"/>
                  <w:lang w:val="en-GB"/>
                </w:rPr>
                <m:t>4</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rPr>
                <m:t>FSIZE</m:t>
              </m:r>
            </m:e>
            <m:sub>
              <m:r>
                <w:rPr>
                  <w:rFonts w:ascii="Cambria Math" w:hAnsi="Cambria Math" w:cs="Times New Roman"/>
                  <w:color w:val="000000"/>
                  <w:sz w:val="18"/>
                  <w:szCs w:val="18"/>
                  <w:lang w:val="en-GB"/>
                </w:rPr>
                <m:t>t</m:t>
              </m:r>
            </m:sub>
          </m:sSub>
          <m:r>
            <w:rPr>
              <w:rFonts w:ascii="Cambria Math" w:hAnsi="Cambria Math" w:cs="Times New Roman"/>
              <w:color w:val="000000"/>
              <w:sz w:val="18"/>
              <w:szCs w:val="18"/>
              <w:lang w:val="en-GB"/>
            </w:rPr>
            <m:t>+</m:t>
          </m:r>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β</m:t>
              </m:r>
            </m:e>
            <m:sub>
              <m:r>
                <m:rPr>
                  <m:sty m:val="p"/>
                </m:rPr>
                <w:rPr>
                  <w:rFonts w:ascii="Cambria Math" w:hAnsi="Cambria Math" w:cs="Times New Roman"/>
                  <w:color w:val="000000"/>
                  <w:sz w:val="18"/>
                  <w:szCs w:val="18"/>
                  <w:lang w:val="en-GB"/>
                </w:rPr>
                <m:t>5</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FLEV</m:t>
              </m:r>
            </m:e>
            <m:sub>
              <m:r>
                <w:rPr>
                  <w:rFonts w:ascii="Cambria Math" w:hAnsi="Cambria Math" w:cs="Times New Roman"/>
                  <w:color w:val="000000"/>
                  <w:sz w:val="18"/>
                  <w:szCs w:val="18"/>
                  <w:lang w:val="en-GB"/>
                </w:rPr>
                <m:t>t</m:t>
              </m:r>
            </m:sub>
          </m:sSub>
          <m:r>
            <w:rPr>
              <w:rFonts w:ascii="Cambria Math" w:hAnsi="Cambria Math" w:cs="Times New Roman"/>
              <w:color w:val="000000"/>
              <w:sz w:val="18"/>
              <w:szCs w:val="18"/>
              <w:lang w:val="en-GB"/>
            </w:rPr>
            <m:t>+</m:t>
          </m:r>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β</m:t>
              </m:r>
            </m:e>
            <m:sub>
              <m:r>
                <m:rPr>
                  <m:sty m:val="p"/>
                </m:rPr>
                <w:rPr>
                  <w:rFonts w:ascii="Cambria Math" w:hAnsi="Cambria Math" w:cs="Times New Roman"/>
                  <w:color w:val="000000"/>
                  <w:sz w:val="18"/>
                  <w:szCs w:val="18"/>
                  <w:lang w:val="en-GB"/>
                </w:rPr>
                <m:t>6</m:t>
              </m:r>
            </m:sub>
          </m:sSub>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rPr>
                <m:t>PROF</m:t>
              </m:r>
            </m:e>
            <m:sub>
              <m:r>
                <w:rPr>
                  <w:rFonts w:ascii="Cambria Math" w:hAnsi="Cambria Math" w:cs="Times New Roman"/>
                  <w:color w:val="000000"/>
                  <w:sz w:val="18"/>
                  <w:szCs w:val="18"/>
                  <w:lang w:val="en-GB"/>
                </w:rPr>
                <m:t>t</m:t>
              </m:r>
            </m:sub>
          </m:sSub>
          <m:r>
            <w:rPr>
              <w:rFonts w:ascii="Cambria Math" w:hAnsi="Cambria Math" w:cs="Times New Roman"/>
              <w:color w:val="000000"/>
              <w:sz w:val="18"/>
              <w:szCs w:val="18"/>
              <w:lang w:val="en-GB"/>
            </w:rPr>
            <m:t>+</m:t>
          </m:r>
          <m:sSub>
            <m:sSubPr>
              <m:ctrlPr>
                <w:rPr>
                  <w:rFonts w:ascii="Cambria Math" w:hAnsi="Cambria Math" w:cs="Times New Roman"/>
                  <w:i/>
                  <w:color w:val="000000"/>
                  <w:sz w:val="18"/>
                  <w:szCs w:val="18"/>
                  <w:lang w:val="en-GB"/>
                </w:rPr>
              </m:ctrlPr>
            </m:sSubPr>
            <m:e>
              <m:r>
                <m:rPr>
                  <m:sty m:val="p"/>
                </m:rPr>
                <w:rPr>
                  <w:rFonts w:ascii="Cambria Math" w:hAnsi="Cambria Math" w:cs="Times New Roman"/>
                  <w:color w:val="000000"/>
                  <w:sz w:val="18"/>
                  <w:szCs w:val="18"/>
                  <w:lang w:val="en-GB"/>
                </w:rPr>
                <m:t>β</m:t>
              </m:r>
            </m:e>
            <m:sub>
              <m:r>
                <m:rPr>
                  <m:sty m:val="p"/>
                </m:rPr>
                <w:rPr>
                  <w:rFonts w:ascii="Cambria Math" w:hAnsi="Cambria Math" w:cs="Times New Roman"/>
                  <w:color w:val="000000"/>
                  <w:sz w:val="18"/>
                  <w:szCs w:val="18"/>
                  <w:lang w:val="en-GB"/>
                </w:rPr>
                <m:t>7</m:t>
              </m:r>
            </m:sub>
          </m:sSub>
          <m:r>
            <m:rPr>
              <m:sty m:val="p"/>
            </m:rPr>
            <w:rPr>
              <w:rFonts w:ascii="Cambria Math" w:hAnsi="Cambria Math" w:cs="Times New Roman"/>
              <w:color w:val="000000"/>
              <w:sz w:val="18"/>
              <w:szCs w:val="18"/>
            </w:rPr>
            <m:t>FAGE</m:t>
          </m:r>
          <m:r>
            <w:rPr>
              <w:rFonts w:ascii="Cambria Math" w:hAnsi="Cambria Math" w:cs="Times New Roman"/>
              <w:color w:val="000000"/>
              <w:sz w:val="18"/>
              <w:szCs w:val="18"/>
              <w:lang w:val="en-GB"/>
            </w:rPr>
            <m:t xml:space="preserve"> </m:t>
          </m:r>
          <m:r>
            <m:rPr>
              <m:sty m:val="p"/>
            </m:rPr>
            <w:rPr>
              <w:rFonts w:ascii="Cambria Math" w:hAnsi="Cambria Math" w:cs="Times New Roman"/>
              <w:color w:val="000000"/>
              <w:sz w:val="18"/>
              <w:szCs w:val="18"/>
            </w:rPr>
            <m:t>+</m:t>
          </m:r>
          <m:r>
            <w:rPr>
              <w:rFonts w:ascii="Cambria Math" w:hAnsi="Cambria Math" w:cs="Times New Roman"/>
              <w:color w:val="000000"/>
              <w:sz w:val="18"/>
              <w:szCs w:val="18"/>
              <w:lang w:val="en-GB"/>
            </w:rPr>
            <m:t xml:space="preserve"> ε</m:t>
          </m:r>
        </m:oMath>
      </m:oMathPara>
    </w:p>
    <w:p w14:paraId="5A281BFF" w14:textId="77777777" w:rsidR="0093182F" w:rsidRPr="0093182F" w:rsidRDefault="0093182F" w:rsidP="0093182F">
      <w:pPr>
        <w:keepNext/>
        <w:bidi w:val="0"/>
        <w:spacing w:after="0" w:line="240" w:lineRule="auto"/>
        <w:ind w:left="567" w:hanging="567"/>
        <w:jc w:val="both"/>
        <w:outlineLvl w:val="0"/>
        <w:rPr>
          <w:rFonts w:ascii="Times New Roman" w:hAnsi="Times New Roman" w:cs="Times New Roman"/>
          <w:bCs/>
          <w:color w:val="000000"/>
          <w:kern w:val="32"/>
          <w:sz w:val="18"/>
          <w:szCs w:val="18"/>
          <w:lang w:val="en-GB" w:eastAsia="x-none"/>
        </w:rPr>
      </w:pPr>
      <w:bookmarkStart w:id="1" w:name="_Hlk129416014"/>
      <w:r w:rsidRPr="0093182F">
        <w:rPr>
          <w:rFonts w:ascii="Times New Roman" w:hAnsi="Times New Roman" w:cs="Times New Roman"/>
          <w:bCs/>
          <w:color w:val="000000"/>
          <w:kern w:val="32"/>
          <w:sz w:val="18"/>
          <w:szCs w:val="18"/>
          <w:lang w:val="en-GB" w:eastAsia="x-none"/>
        </w:rPr>
        <w:t>The dependent and independent variables and the error term (ε) and regression coefficients (βk), are defined in Table 1.</w:t>
      </w:r>
    </w:p>
    <w:bookmarkEnd w:id="1"/>
    <w:p w14:paraId="7DC4B621" w14:textId="77777777" w:rsidR="00094347" w:rsidRPr="00094347" w:rsidRDefault="00094347" w:rsidP="00094347">
      <w:pPr>
        <w:keepNext/>
        <w:bidi w:val="0"/>
        <w:spacing w:after="0" w:line="240" w:lineRule="auto"/>
        <w:jc w:val="both"/>
        <w:outlineLvl w:val="0"/>
        <w:rPr>
          <w:rFonts w:ascii="Times New Roman" w:hAnsi="Times New Roman" w:cs="Times New Roman"/>
          <w:b/>
          <w:color w:val="000000"/>
          <w:kern w:val="32"/>
          <w:sz w:val="18"/>
          <w:szCs w:val="18"/>
          <w:lang w:val="en-GB" w:eastAsia="x-none"/>
        </w:rPr>
      </w:pPr>
    </w:p>
    <w:p w14:paraId="42A5AB05" w14:textId="7752FA67" w:rsidR="000E1C4C" w:rsidRPr="00EA4357" w:rsidRDefault="00610134" w:rsidP="006C66EF">
      <w:pPr>
        <w:keepNext/>
        <w:bidi w:val="0"/>
        <w:spacing w:after="0" w:line="240" w:lineRule="auto"/>
        <w:ind w:left="567" w:hanging="567"/>
        <w:jc w:val="both"/>
        <w:outlineLvl w:val="0"/>
        <w:rPr>
          <w:rFonts w:ascii="Times New Roman" w:hAnsi="Times New Roman" w:cs="Times New Roman"/>
          <w:b/>
          <w:color w:val="000000"/>
          <w:kern w:val="32"/>
          <w:sz w:val="18"/>
          <w:szCs w:val="18"/>
          <w:lang w:val="x-none" w:eastAsia="x-none"/>
        </w:rPr>
      </w:pPr>
      <w:r>
        <w:rPr>
          <w:rFonts w:ascii="Times New Roman" w:hAnsi="Times New Roman" w:cs="Times New Roman"/>
          <w:b/>
          <w:color w:val="000000"/>
          <w:kern w:val="32"/>
          <w:sz w:val="18"/>
          <w:szCs w:val="18"/>
          <w:lang w:val="en-GB" w:eastAsia="x-none"/>
        </w:rPr>
        <w:t xml:space="preserve">4. </w:t>
      </w:r>
      <w:r w:rsidR="000E1C4C" w:rsidRPr="00EA4357">
        <w:rPr>
          <w:rFonts w:ascii="Times New Roman" w:hAnsi="Times New Roman" w:cs="Times New Roman"/>
          <w:b/>
          <w:color w:val="000000"/>
          <w:kern w:val="32"/>
          <w:sz w:val="18"/>
          <w:szCs w:val="18"/>
          <w:lang w:val="x-none" w:eastAsia="x-none"/>
        </w:rPr>
        <w:t xml:space="preserve">Result and discussion </w:t>
      </w:r>
    </w:p>
    <w:p w14:paraId="12C34D0B" w14:textId="2523BD73" w:rsidR="006C66EF" w:rsidRPr="00610134" w:rsidRDefault="000E1C4C" w:rsidP="00610134">
      <w:pPr>
        <w:pStyle w:val="ListParagraph"/>
        <w:keepNext/>
        <w:numPr>
          <w:ilvl w:val="1"/>
          <w:numId w:val="3"/>
        </w:numPr>
        <w:bidi w:val="0"/>
        <w:spacing w:after="0" w:line="240" w:lineRule="auto"/>
        <w:jc w:val="both"/>
        <w:outlineLvl w:val="0"/>
        <w:rPr>
          <w:rFonts w:ascii="Times New Roman" w:hAnsi="Times New Roman" w:cs="Times New Roman"/>
          <w:b/>
          <w:color w:val="000000"/>
          <w:kern w:val="32"/>
          <w:sz w:val="18"/>
          <w:szCs w:val="18"/>
          <w:lang w:val="x-none" w:eastAsia="x-none"/>
        </w:rPr>
      </w:pPr>
      <w:r w:rsidRPr="00610134">
        <w:rPr>
          <w:rFonts w:ascii="Times New Roman" w:hAnsi="Times New Roman" w:cs="Times New Roman"/>
          <w:b/>
          <w:color w:val="000000"/>
          <w:kern w:val="32"/>
          <w:sz w:val="18"/>
          <w:szCs w:val="18"/>
          <w:lang w:val="x-none" w:eastAsia="x-none"/>
        </w:rPr>
        <w:t>Descriptive statistics</w:t>
      </w:r>
    </w:p>
    <w:p w14:paraId="089D2FAF" w14:textId="77777777" w:rsidR="00B50B5D" w:rsidRDefault="00B50B5D" w:rsidP="00B50B5D">
      <w:pPr>
        <w:bidi w:val="0"/>
        <w:spacing w:after="0" w:line="240" w:lineRule="auto"/>
        <w:jc w:val="both"/>
        <w:rPr>
          <w:rFonts w:ascii="Times New Roman" w:hAnsi="Times New Roman" w:cs="Times New Roman"/>
          <w:bCs/>
          <w:color w:val="000000"/>
          <w:sz w:val="18"/>
          <w:szCs w:val="18"/>
        </w:rPr>
      </w:pPr>
      <w:bookmarkStart w:id="2" w:name="_Hlk79925798"/>
      <w:r w:rsidRPr="00B50B5D">
        <w:rPr>
          <w:rFonts w:ascii="Times New Roman" w:hAnsi="Times New Roman" w:cs="Times New Roman"/>
          <w:bCs/>
          <w:color w:val="000000"/>
          <w:sz w:val="18"/>
          <w:szCs w:val="18"/>
        </w:rPr>
        <w:t>Table 2 displays the results of the descriptive statistics analysis conducted on all study variables, which include the dependent, independent, and control variables. The descriptive analysis provides essential information, such as the mean, standard deviation, maximum value, and minimum value for each variable, aiding in a comprehensive understanding of the data.</w:t>
      </w:r>
    </w:p>
    <w:p w14:paraId="74A80913" w14:textId="570C2967" w:rsidR="006C66EF" w:rsidRDefault="006C66EF" w:rsidP="00B50B5D">
      <w:pPr>
        <w:bidi w:val="0"/>
        <w:spacing w:after="0" w:line="240" w:lineRule="auto"/>
        <w:jc w:val="center"/>
        <w:rPr>
          <w:rFonts w:ascii="Times New Roman" w:hAnsi="Times New Roman" w:cs="Times New Roman"/>
          <w:b/>
          <w:color w:val="000000"/>
          <w:sz w:val="18"/>
          <w:szCs w:val="18"/>
        </w:rPr>
      </w:pPr>
      <w:r w:rsidRPr="006C66EF">
        <w:rPr>
          <w:rFonts w:ascii="Times New Roman" w:hAnsi="Times New Roman" w:cs="Times New Roman"/>
          <w:b/>
          <w:color w:val="000000"/>
          <w:sz w:val="18"/>
          <w:szCs w:val="18"/>
        </w:rPr>
        <w:t>Table 2. descriptive statistics analysis</w:t>
      </w:r>
    </w:p>
    <w:tbl>
      <w:tblPr>
        <w:tblW w:w="0" w:type="auto"/>
        <w:tblLayout w:type="fixed"/>
        <w:tblLook w:val="0000" w:firstRow="0" w:lastRow="0" w:firstColumn="0" w:lastColumn="0" w:noHBand="0" w:noVBand="0"/>
      </w:tblPr>
      <w:tblGrid>
        <w:gridCol w:w="2508"/>
        <w:gridCol w:w="800"/>
        <w:gridCol w:w="1400"/>
        <w:gridCol w:w="1400"/>
        <w:gridCol w:w="1400"/>
        <w:gridCol w:w="1400"/>
      </w:tblGrid>
      <w:tr w:rsidR="006C66EF" w:rsidRPr="00C6117E" w14:paraId="0354E31E" w14:textId="77777777" w:rsidTr="00414E90">
        <w:tc>
          <w:tcPr>
            <w:tcW w:w="2508" w:type="dxa"/>
            <w:tcBorders>
              <w:top w:val="single" w:sz="4" w:space="0" w:color="auto"/>
              <w:left w:val="nil"/>
              <w:bottom w:val="single" w:sz="10" w:space="0" w:color="auto"/>
              <w:right w:val="nil"/>
            </w:tcBorders>
          </w:tcPr>
          <w:p w14:paraId="4BAC7142" w14:textId="77777777"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Variable</w:t>
            </w:r>
          </w:p>
        </w:tc>
        <w:tc>
          <w:tcPr>
            <w:tcW w:w="800" w:type="dxa"/>
            <w:tcBorders>
              <w:top w:val="single" w:sz="4" w:space="0" w:color="auto"/>
              <w:left w:val="nil"/>
              <w:bottom w:val="single" w:sz="10" w:space="0" w:color="auto"/>
              <w:right w:val="nil"/>
            </w:tcBorders>
          </w:tcPr>
          <w:p w14:paraId="3181C8B8"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w:t>
            </w:r>
            <w:proofErr w:type="spellStart"/>
            <w:r w:rsidRPr="00C6117E">
              <w:rPr>
                <w:rFonts w:ascii="Times New Roman" w:eastAsia="Times New Roman" w:hAnsi="Times New Roman" w:cs="Times New Roman"/>
                <w:sz w:val="18"/>
                <w:szCs w:val="18"/>
                <w:lang w:eastAsia="en-GB"/>
              </w:rPr>
              <w:t>Obs</w:t>
            </w:r>
            <w:proofErr w:type="spellEnd"/>
          </w:p>
        </w:tc>
        <w:tc>
          <w:tcPr>
            <w:tcW w:w="1400" w:type="dxa"/>
            <w:tcBorders>
              <w:top w:val="single" w:sz="4" w:space="0" w:color="auto"/>
              <w:left w:val="nil"/>
              <w:bottom w:val="single" w:sz="10" w:space="0" w:color="auto"/>
              <w:right w:val="nil"/>
            </w:tcBorders>
          </w:tcPr>
          <w:p w14:paraId="5AFE0938"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Mean</w:t>
            </w:r>
          </w:p>
        </w:tc>
        <w:tc>
          <w:tcPr>
            <w:tcW w:w="1400" w:type="dxa"/>
            <w:tcBorders>
              <w:top w:val="single" w:sz="4" w:space="0" w:color="auto"/>
              <w:left w:val="nil"/>
              <w:bottom w:val="single" w:sz="10" w:space="0" w:color="auto"/>
              <w:right w:val="nil"/>
            </w:tcBorders>
          </w:tcPr>
          <w:p w14:paraId="5EB48308"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Std. Dev.</w:t>
            </w:r>
          </w:p>
        </w:tc>
        <w:tc>
          <w:tcPr>
            <w:tcW w:w="1400" w:type="dxa"/>
            <w:tcBorders>
              <w:top w:val="single" w:sz="4" w:space="0" w:color="auto"/>
              <w:left w:val="nil"/>
              <w:bottom w:val="single" w:sz="10" w:space="0" w:color="auto"/>
              <w:right w:val="nil"/>
            </w:tcBorders>
          </w:tcPr>
          <w:p w14:paraId="4E13B401"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Min</w:t>
            </w:r>
          </w:p>
        </w:tc>
        <w:tc>
          <w:tcPr>
            <w:tcW w:w="1400" w:type="dxa"/>
            <w:tcBorders>
              <w:top w:val="single" w:sz="4" w:space="0" w:color="auto"/>
              <w:left w:val="nil"/>
              <w:bottom w:val="single" w:sz="10" w:space="0" w:color="auto"/>
              <w:right w:val="nil"/>
            </w:tcBorders>
          </w:tcPr>
          <w:p w14:paraId="64ED6BFE"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Max</w:t>
            </w:r>
          </w:p>
        </w:tc>
      </w:tr>
      <w:tr w:rsidR="006C66EF" w:rsidRPr="00C6117E" w14:paraId="2E964A62" w14:textId="77777777" w:rsidTr="00414E90">
        <w:tc>
          <w:tcPr>
            <w:tcW w:w="2508" w:type="dxa"/>
            <w:tcBorders>
              <w:top w:val="nil"/>
              <w:left w:val="nil"/>
              <w:bottom w:val="nil"/>
              <w:right w:val="nil"/>
            </w:tcBorders>
          </w:tcPr>
          <w:p w14:paraId="6A99A254" w14:textId="388B09C8"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VDI</w:t>
            </w:r>
          </w:p>
        </w:tc>
        <w:tc>
          <w:tcPr>
            <w:tcW w:w="800" w:type="dxa"/>
            <w:tcBorders>
              <w:top w:val="nil"/>
              <w:left w:val="nil"/>
              <w:bottom w:val="nil"/>
              <w:right w:val="nil"/>
            </w:tcBorders>
          </w:tcPr>
          <w:p w14:paraId="22F565B5"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3B4B9E88"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.563</w:t>
            </w:r>
          </w:p>
        </w:tc>
        <w:tc>
          <w:tcPr>
            <w:tcW w:w="1400" w:type="dxa"/>
            <w:tcBorders>
              <w:top w:val="nil"/>
              <w:left w:val="nil"/>
              <w:bottom w:val="nil"/>
              <w:right w:val="nil"/>
            </w:tcBorders>
          </w:tcPr>
          <w:p w14:paraId="5F0D8FB6"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.152</w:t>
            </w:r>
          </w:p>
        </w:tc>
        <w:tc>
          <w:tcPr>
            <w:tcW w:w="1400" w:type="dxa"/>
            <w:tcBorders>
              <w:top w:val="nil"/>
              <w:left w:val="nil"/>
              <w:bottom w:val="nil"/>
              <w:right w:val="nil"/>
            </w:tcBorders>
          </w:tcPr>
          <w:p w14:paraId="264F1DD3"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.236</w:t>
            </w:r>
          </w:p>
        </w:tc>
        <w:tc>
          <w:tcPr>
            <w:tcW w:w="1400" w:type="dxa"/>
            <w:tcBorders>
              <w:top w:val="nil"/>
              <w:left w:val="nil"/>
              <w:bottom w:val="nil"/>
              <w:right w:val="nil"/>
            </w:tcBorders>
          </w:tcPr>
          <w:p w14:paraId="4437DFEC"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.873</w:t>
            </w:r>
          </w:p>
        </w:tc>
      </w:tr>
      <w:tr w:rsidR="006C66EF" w:rsidRPr="00C6117E" w14:paraId="175192E5" w14:textId="77777777" w:rsidTr="00414E90">
        <w:tc>
          <w:tcPr>
            <w:tcW w:w="2508" w:type="dxa"/>
            <w:tcBorders>
              <w:top w:val="nil"/>
              <w:left w:val="nil"/>
              <w:bottom w:val="nil"/>
              <w:right w:val="nil"/>
            </w:tcBorders>
          </w:tcPr>
          <w:p w14:paraId="56B06FC9" w14:textId="1748FC0A"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BSIZE</w:t>
            </w:r>
          </w:p>
        </w:tc>
        <w:tc>
          <w:tcPr>
            <w:tcW w:w="800" w:type="dxa"/>
            <w:tcBorders>
              <w:top w:val="nil"/>
              <w:left w:val="nil"/>
              <w:bottom w:val="nil"/>
              <w:right w:val="nil"/>
            </w:tcBorders>
          </w:tcPr>
          <w:p w14:paraId="49BD5839"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7FEE5340"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8.764</w:t>
            </w:r>
          </w:p>
        </w:tc>
        <w:tc>
          <w:tcPr>
            <w:tcW w:w="1400" w:type="dxa"/>
            <w:tcBorders>
              <w:top w:val="nil"/>
              <w:left w:val="nil"/>
              <w:bottom w:val="nil"/>
              <w:right w:val="nil"/>
            </w:tcBorders>
          </w:tcPr>
          <w:p w14:paraId="74FCC891"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2.149</w:t>
            </w:r>
          </w:p>
        </w:tc>
        <w:tc>
          <w:tcPr>
            <w:tcW w:w="1400" w:type="dxa"/>
            <w:tcBorders>
              <w:top w:val="nil"/>
              <w:left w:val="nil"/>
              <w:bottom w:val="nil"/>
              <w:right w:val="nil"/>
            </w:tcBorders>
          </w:tcPr>
          <w:p w14:paraId="20A74881"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5</w:t>
            </w:r>
          </w:p>
        </w:tc>
        <w:tc>
          <w:tcPr>
            <w:tcW w:w="1400" w:type="dxa"/>
            <w:tcBorders>
              <w:top w:val="nil"/>
              <w:left w:val="nil"/>
              <w:bottom w:val="nil"/>
              <w:right w:val="nil"/>
            </w:tcBorders>
          </w:tcPr>
          <w:p w14:paraId="4C955102"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15</w:t>
            </w:r>
          </w:p>
        </w:tc>
      </w:tr>
      <w:tr w:rsidR="006C66EF" w:rsidRPr="00C6117E" w14:paraId="516A4345" w14:textId="77777777" w:rsidTr="00414E90">
        <w:tc>
          <w:tcPr>
            <w:tcW w:w="2508" w:type="dxa"/>
            <w:tcBorders>
              <w:top w:val="nil"/>
              <w:left w:val="nil"/>
              <w:bottom w:val="nil"/>
              <w:right w:val="nil"/>
            </w:tcBorders>
          </w:tcPr>
          <w:p w14:paraId="2F7D1483" w14:textId="6AE6EFD1"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BIND</w:t>
            </w:r>
          </w:p>
        </w:tc>
        <w:tc>
          <w:tcPr>
            <w:tcW w:w="800" w:type="dxa"/>
            <w:tcBorders>
              <w:top w:val="nil"/>
              <w:left w:val="nil"/>
              <w:bottom w:val="nil"/>
              <w:right w:val="nil"/>
            </w:tcBorders>
          </w:tcPr>
          <w:p w14:paraId="6C88BDB4"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54E2939B"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.915</w:t>
            </w:r>
          </w:p>
        </w:tc>
        <w:tc>
          <w:tcPr>
            <w:tcW w:w="1400" w:type="dxa"/>
            <w:tcBorders>
              <w:top w:val="nil"/>
              <w:left w:val="nil"/>
              <w:bottom w:val="nil"/>
              <w:right w:val="nil"/>
            </w:tcBorders>
          </w:tcPr>
          <w:p w14:paraId="13458CD5"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.158</w:t>
            </w:r>
          </w:p>
        </w:tc>
        <w:tc>
          <w:tcPr>
            <w:tcW w:w="1400" w:type="dxa"/>
            <w:tcBorders>
              <w:top w:val="nil"/>
              <w:left w:val="nil"/>
              <w:bottom w:val="nil"/>
              <w:right w:val="nil"/>
            </w:tcBorders>
          </w:tcPr>
          <w:p w14:paraId="6E3893F4"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0</w:t>
            </w:r>
          </w:p>
        </w:tc>
        <w:tc>
          <w:tcPr>
            <w:tcW w:w="1400" w:type="dxa"/>
            <w:tcBorders>
              <w:top w:val="nil"/>
              <w:left w:val="nil"/>
              <w:bottom w:val="nil"/>
              <w:right w:val="nil"/>
            </w:tcBorders>
          </w:tcPr>
          <w:p w14:paraId="0B90E9E9"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w:t>
            </w:r>
          </w:p>
        </w:tc>
      </w:tr>
      <w:tr w:rsidR="006C66EF" w:rsidRPr="00C6117E" w14:paraId="759E7129" w14:textId="77777777" w:rsidTr="00414E90">
        <w:tc>
          <w:tcPr>
            <w:tcW w:w="2508" w:type="dxa"/>
            <w:tcBorders>
              <w:top w:val="nil"/>
              <w:left w:val="nil"/>
              <w:bottom w:val="nil"/>
              <w:right w:val="nil"/>
            </w:tcBorders>
          </w:tcPr>
          <w:p w14:paraId="74A38DAC" w14:textId="5653DA71"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BGED</w:t>
            </w:r>
          </w:p>
        </w:tc>
        <w:tc>
          <w:tcPr>
            <w:tcW w:w="800" w:type="dxa"/>
            <w:tcBorders>
              <w:top w:val="nil"/>
              <w:left w:val="nil"/>
              <w:bottom w:val="nil"/>
              <w:right w:val="nil"/>
            </w:tcBorders>
          </w:tcPr>
          <w:p w14:paraId="417EF6FF"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3ED663B0"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.058</w:t>
            </w:r>
          </w:p>
        </w:tc>
        <w:tc>
          <w:tcPr>
            <w:tcW w:w="1400" w:type="dxa"/>
            <w:tcBorders>
              <w:top w:val="nil"/>
              <w:left w:val="nil"/>
              <w:bottom w:val="nil"/>
              <w:right w:val="nil"/>
            </w:tcBorders>
          </w:tcPr>
          <w:p w14:paraId="41BB229E"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.107</w:t>
            </w:r>
          </w:p>
        </w:tc>
        <w:tc>
          <w:tcPr>
            <w:tcW w:w="1400" w:type="dxa"/>
            <w:tcBorders>
              <w:top w:val="nil"/>
              <w:left w:val="nil"/>
              <w:bottom w:val="nil"/>
              <w:right w:val="nil"/>
            </w:tcBorders>
          </w:tcPr>
          <w:p w14:paraId="432BCC68"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0</w:t>
            </w:r>
          </w:p>
        </w:tc>
        <w:tc>
          <w:tcPr>
            <w:tcW w:w="1400" w:type="dxa"/>
            <w:tcBorders>
              <w:top w:val="nil"/>
              <w:left w:val="nil"/>
              <w:bottom w:val="nil"/>
              <w:right w:val="nil"/>
            </w:tcBorders>
          </w:tcPr>
          <w:p w14:paraId="024D96CA"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.571</w:t>
            </w:r>
          </w:p>
        </w:tc>
      </w:tr>
      <w:tr w:rsidR="006C66EF" w:rsidRPr="00C6117E" w14:paraId="62FEFA7B" w14:textId="77777777" w:rsidTr="00414E90">
        <w:tc>
          <w:tcPr>
            <w:tcW w:w="2508" w:type="dxa"/>
            <w:tcBorders>
              <w:top w:val="nil"/>
              <w:left w:val="nil"/>
              <w:bottom w:val="nil"/>
              <w:right w:val="nil"/>
            </w:tcBorders>
          </w:tcPr>
          <w:p w14:paraId="5A68316C" w14:textId="2A771555"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FSIZE</w:t>
            </w:r>
          </w:p>
        </w:tc>
        <w:tc>
          <w:tcPr>
            <w:tcW w:w="800" w:type="dxa"/>
            <w:tcBorders>
              <w:top w:val="nil"/>
              <w:left w:val="nil"/>
              <w:bottom w:val="nil"/>
              <w:right w:val="nil"/>
            </w:tcBorders>
          </w:tcPr>
          <w:p w14:paraId="6A3CF2FE"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3F42F6A8"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17.622</w:t>
            </w:r>
          </w:p>
        </w:tc>
        <w:tc>
          <w:tcPr>
            <w:tcW w:w="1400" w:type="dxa"/>
            <w:tcBorders>
              <w:top w:val="nil"/>
              <w:left w:val="nil"/>
              <w:bottom w:val="nil"/>
              <w:right w:val="nil"/>
            </w:tcBorders>
          </w:tcPr>
          <w:p w14:paraId="06FD5297"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1.767</w:t>
            </w:r>
          </w:p>
        </w:tc>
        <w:tc>
          <w:tcPr>
            <w:tcW w:w="1400" w:type="dxa"/>
            <w:tcBorders>
              <w:top w:val="nil"/>
              <w:left w:val="nil"/>
              <w:bottom w:val="nil"/>
              <w:right w:val="nil"/>
            </w:tcBorders>
          </w:tcPr>
          <w:p w14:paraId="3F56303D"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14.01</w:t>
            </w:r>
          </w:p>
        </w:tc>
        <w:tc>
          <w:tcPr>
            <w:tcW w:w="1400" w:type="dxa"/>
            <w:tcBorders>
              <w:top w:val="nil"/>
              <w:left w:val="nil"/>
              <w:bottom w:val="nil"/>
              <w:right w:val="nil"/>
            </w:tcBorders>
          </w:tcPr>
          <w:p w14:paraId="688575A4"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22.308</w:t>
            </w:r>
          </w:p>
        </w:tc>
      </w:tr>
      <w:tr w:rsidR="006C66EF" w:rsidRPr="00C6117E" w14:paraId="3F0A308B" w14:textId="77777777" w:rsidTr="00414E90">
        <w:tc>
          <w:tcPr>
            <w:tcW w:w="2508" w:type="dxa"/>
            <w:tcBorders>
              <w:top w:val="nil"/>
              <w:left w:val="nil"/>
              <w:bottom w:val="nil"/>
              <w:right w:val="nil"/>
            </w:tcBorders>
          </w:tcPr>
          <w:p w14:paraId="6ADC1BB8" w14:textId="1113BA42"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FAGE</w:t>
            </w:r>
          </w:p>
        </w:tc>
        <w:tc>
          <w:tcPr>
            <w:tcW w:w="800" w:type="dxa"/>
            <w:tcBorders>
              <w:top w:val="nil"/>
              <w:left w:val="nil"/>
              <w:bottom w:val="nil"/>
              <w:right w:val="nil"/>
            </w:tcBorders>
          </w:tcPr>
          <w:p w14:paraId="19205649"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089AEC7D"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3.044</w:t>
            </w:r>
          </w:p>
        </w:tc>
        <w:tc>
          <w:tcPr>
            <w:tcW w:w="1400" w:type="dxa"/>
            <w:tcBorders>
              <w:top w:val="nil"/>
              <w:left w:val="nil"/>
              <w:bottom w:val="nil"/>
              <w:right w:val="nil"/>
            </w:tcBorders>
          </w:tcPr>
          <w:p w14:paraId="3A6F3334"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.553</w:t>
            </w:r>
          </w:p>
        </w:tc>
        <w:tc>
          <w:tcPr>
            <w:tcW w:w="1400" w:type="dxa"/>
            <w:tcBorders>
              <w:top w:val="nil"/>
              <w:left w:val="nil"/>
              <w:bottom w:val="nil"/>
              <w:right w:val="nil"/>
            </w:tcBorders>
          </w:tcPr>
          <w:p w14:paraId="570C29C8"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1.099</w:t>
            </w:r>
          </w:p>
        </w:tc>
        <w:tc>
          <w:tcPr>
            <w:tcW w:w="1400" w:type="dxa"/>
            <w:tcBorders>
              <w:top w:val="nil"/>
              <w:left w:val="nil"/>
              <w:bottom w:val="nil"/>
              <w:right w:val="nil"/>
            </w:tcBorders>
          </w:tcPr>
          <w:p w14:paraId="08ABB9F9"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4.277</w:t>
            </w:r>
          </w:p>
        </w:tc>
      </w:tr>
      <w:tr w:rsidR="006C66EF" w:rsidRPr="00C6117E" w14:paraId="14FCF2B4" w14:textId="77777777" w:rsidTr="00414E90">
        <w:tc>
          <w:tcPr>
            <w:tcW w:w="2508" w:type="dxa"/>
            <w:tcBorders>
              <w:top w:val="nil"/>
              <w:left w:val="nil"/>
              <w:bottom w:val="nil"/>
              <w:right w:val="nil"/>
            </w:tcBorders>
          </w:tcPr>
          <w:p w14:paraId="04F508FC" w14:textId="7F43E970"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w:t>
            </w:r>
            <w:r w:rsidR="00B77271" w:rsidRPr="00C6117E">
              <w:rPr>
                <w:rFonts w:ascii="Times New Roman" w:eastAsia="Times New Roman" w:hAnsi="Times New Roman" w:cs="Times New Roman"/>
                <w:sz w:val="18"/>
                <w:szCs w:val="18"/>
                <w:lang w:eastAsia="en-GB"/>
              </w:rPr>
              <w:t>FLEV</w:t>
            </w:r>
          </w:p>
        </w:tc>
        <w:tc>
          <w:tcPr>
            <w:tcW w:w="800" w:type="dxa"/>
            <w:tcBorders>
              <w:top w:val="nil"/>
              <w:left w:val="nil"/>
              <w:bottom w:val="nil"/>
              <w:right w:val="nil"/>
            </w:tcBorders>
          </w:tcPr>
          <w:p w14:paraId="47665FC6"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3D74F98F"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.413</w:t>
            </w:r>
          </w:p>
        </w:tc>
        <w:tc>
          <w:tcPr>
            <w:tcW w:w="1400" w:type="dxa"/>
            <w:tcBorders>
              <w:top w:val="nil"/>
              <w:left w:val="nil"/>
              <w:bottom w:val="nil"/>
              <w:right w:val="nil"/>
            </w:tcBorders>
          </w:tcPr>
          <w:p w14:paraId="4B96B97E"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.257</w:t>
            </w:r>
          </w:p>
        </w:tc>
        <w:tc>
          <w:tcPr>
            <w:tcW w:w="1400" w:type="dxa"/>
            <w:tcBorders>
              <w:top w:val="nil"/>
              <w:left w:val="nil"/>
              <w:bottom w:val="nil"/>
              <w:right w:val="nil"/>
            </w:tcBorders>
          </w:tcPr>
          <w:p w14:paraId="7056E8BE"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.009</w:t>
            </w:r>
          </w:p>
        </w:tc>
        <w:tc>
          <w:tcPr>
            <w:tcW w:w="1400" w:type="dxa"/>
            <w:tcBorders>
              <w:top w:val="nil"/>
              <w:left w:val="nil"/>
              <w:bottom w:val="nil"/>
              <w:right w:val="nil"/>
            </w:tcBorders>
          </w:tcPr>
          <w:p w14:paraId="512BB649"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.947</w:t>
            </w:r>
          </w:p>
        </w:tc>
      </w:tr>
      <w:tr w:rsidR="006C66EF" w:rsidRPr="00C6117E" w14:paraId="6D20221A" w14:textId="77777777" w:rsidTr="00414E90">
        <w:tc>
          <w:tcPr>
            <w:tcW w:w="2508" w:type="dxa"/>
            <w:tcBorders>
              <w:top w:val="nil"/>
              <w:left w:val="nil"/>
              <w:bottom w:val="nil"/>
              <w:right w:val="nil"/>
            </w:tcBorders>
          </w:tcPr>
          <w:p w14:paraId="46F7913F" w14:textId="5044F511"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 xml:space="preserve"> </w:t>
            </w:r>
            <w:r w:rsidR="00B77271" w:rsidRPr="00C6117E">
              <w:rPr>
                <w:rFonts w:ascii="Times New Roman" w:eastAsia="Times New Roman" w:hAnsi="Times New Roman" w:cs="Times New Roman"/>
                <w:sz w:val="18"/>
                <w:szCs w:val="18"/>
                <w:lang w:eastAsia="en-GB"/>
              </w:rPr>
              <w:t>FPROF</w:t>
            </w:r>
          </w:p>
        </w:tc>
        <w:tc>
          <w:tcPr>
            <w:tcW w:w="800" w:type="dxa"/>
            <w:tcBorders>
              <w:top w:val="nil"/>
              <w:left w:val="nil"/>
              <w:bottom w:val="nil"/>
              <w:right w:val="nil"/>
            </w:tcBorders>
          </w:tcPr>
          <w:p w14:paraId="228BFE06"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225</w:t>
            </w:r>
          </w:p>
        </w:tc>
        <w:tc>
          <w:tcPr>
            <w:tcW w:w="1400" w:type="dxa"/>
            <w:tcBorders>
              <w:top w:val="nil"/>
              <w:left w:val="nil"/>
              <w:bottom w:val="nil"/>
              <w:right w:val="nil"/>
            </w:tcBorders>
          </w:tcPr>
          <w:p w14:paraId="6F9CE160"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.026</w:t>
            </w:r>
          </w:p>
        </w:tc>
        <w:tc>
          <w:tcPr>
            <w:tcW w:w="1400" w:type="dxa"/>
            <w:tcBorders>
              <w:top w:val="nil"/>
              <w:left w:val="nil"/>
              <w:bottom w:val="nil"/>
              <w:right w:val="nil"/>
            </w:tcBorders>
          </w:tcPr>
          <w:p w14:paraId="707F1EBA"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.083</w:t>
            </w:r>
          </w:p>
        </w:tc>
        <w:tc>
          <w:tcPr>
            <w:tcW w:w="1400" w:type="dxa"/>
            <w:tcBorders>
              <w:top w:val="nil"/>
              <w:left w:val="nil"/>
              <w:bottom w:val="nil"/>
              <w:right w:val="nil"/>
            </w:tcBorders>
          </w:tcPr>
          <w:p w14:paraId="57CAB357"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-.622</w:t>
            </w:r>
          </w:p>
        </w:tc>
        <w:tc>
          <w:tcPr>
            <w:tcW w:w="1400" w:type="dxa"/>
            <w:tcBorders>
              <w:top w:val="nil"/>
              <w:left w:val="nil"/>
              <w:bottom w:val="nil"/>
              <w:right w:val="nil"/>
            </w:tcBorders>
          </w:tcPr>
          <w:p w14:paraId="164EEE7E" w14:textId="77777777" w:rsidR="006C66EF" w:rsidRPr="00C6117E" w:rsidRDefault="006C66EF" w:rsidP="006C66EF">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C6117E">
              <w:rPr>
                <w:rFonts w:ascii="Times New Roman" w:eastAsia="Times New Roman" w:hAnsi="Times New Roman" w:cs="Times New Roman"/>
                <w:sz w:val="18"/>
                <w:szCs w:val="18"/>
                <w:lang w:eastAsia="en-GB"/>
              </w:rPr>
              <w:t>.318</w:t>
            </w:r>
          </w:p>
        </w:tc>
      </w:tr>
      <w:tr w:rsidR="006C66EF" w:rsidRPr="00C6117E" w14:paraId="32EFCADA" w14:textId="77777777" w:rsidTr="00414E90">
        <w:tc>
          <w:tcPr>
            <w:tcW w:w="8908" w:type="dxa"/>
            <w:gridSpan w:val="6"/>
            <w:tcBorders>
              <w:top w:val="single" w:sz="6" w:space="0" w:color="auto"/>
              <w:left w:val="nil"/>
              <w:bottom w:val="nil"/>
              <w:right w:val="nil"/>
            </w:tcBorders>
          </w:tcPr>
          <w:p w14:paraId="04C9207B" w14:textId="77777777" w:rsidR="006C66EF" w:rsidRPr="00C6117E" w:rsidRDefault="006C66EF" w:rsidP="006C66EF">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p>
        </w:tc>
      </w:tr>
    </w:tbl>
    <w:p w14:paraId="30C52A79" w14:textId="77777777" w:rsidR="006C66EF" w:rsidRPr="000A5DB4" w:rsidRDefault="006C66EF" w:rsidP="006C66EF">
      <w:pPr>
        <w:bidi w:val="0"/>
        <w:spacing w:after="0" w:line="240" w:lineRule="auto"/>
        <w:jc w:val="center"/>
        <w:rPr>
          <w:rFonts w:ascii="Times New Roman" w:hAnsi="Times New Roman" w:cs="Times New Roman"/>
          <w:b/>
          <w:color w:val="000000"/>
          <w:sz w:val="18"/>
          <w:szCs w:val="18"/>
        </w:rPr>
      </w:pPr>
    </w:p>
    <w:p w14:paraId="2794C4A2" w14:textId="53CED8EC" w:rsidR="00094347" w:rsidRDefault="00094347" w:rsidP="008C60FF">
      <w:pPr>
        <w:bidi w:val="0"/>
        <w:spacing w:after="0" w:line="240" w:lineRule="auto"/>
        <w:jc w:val="both"/>
        <w:rPr>
          <w:rFonts w:ascii="Times New Roman" w:hAnsi="Times New Roman" w:cs="Times New Roman"/>
          <w:bCs/>
          <w:color w:val="000000"/>
          <w:sz w:val="18"/>
          <w:szCs w:val="18"/>
        </w:rPr>
      </w:pPr>
      <w:bookmarkStart w:id="3" w:name="_Hlk79925939"/>
      <w:r w:rsidRPr="00094347">
        <w:rPr>
          <w:rFonts w:ascii="Times New Roman" w:hAnsi="Times New Roman" w:cs="Times New Roman"/>
          <w:bCs/>
          <w:color w:val="000000"/>
          <w:sz w:val="18"/>
          <w:szCs w:val="18"/>
        </w:rPr>
        <w:t>Table 2 reveal</w:t>
      </w:r>
      <w:r w:rsidR="00B45FA3">
        <w:rPr>
          <w:rFonts w:ascii="Times New Roman" w:hAnsi="Times New Roman" w:cs="Times New Roman"/>
          <w:bCs/>
          <w:color w:val="000000"/>
          <w:sz w:val="18"/>
          <w:szCs w:val="18"/>
        </w:rPr>
        <w:t>s</w:t>
      </w:r>
      <w:r w:rsidRPr="00094347">
        <w:rPr>
          <w:rFonts w:ascii="Times New Roman" w:hAnsi="Times New Roman" w:cs="Times New Roman"/>
          <w:bCs/>
          <w:color w:val="000000"/>
          <w:sz w:val="18"/>
          <w:szCs w:val="18"/>
        </w:rPr>
        <w:t xml:space="preserve"> that the average score for voluntary disclosure by companies is 56.31% out of the 55 items included in the VDI. This finding is consistent with prior studies conducted within the Palestinian context. For instance,</w:t>
      </w:r>
      <w:r w:rsidR="008C60FF">
        <w:rPr>
          <w:rFonts w:ascii="Times New Roman" w:hAnsi="Times New Roman" w:cs="Times New Roman"/>
          <w:bCs/>
          <w:color w:val="000000"/>
          <w:sz w:val="18"/>
          <w:szCs w:val="18"/>
        </w:rPr>
        <w:t xml:space="preserve"> </w:t>
      </w:r>
      <w:r w:rsidR="00522E60">
        <w:rPr>
          <w:rFonts w:ascii="Times New Roman" w:hAnsi="Times New Roman" w:cs="Times New Roman"/>
          <w:bCs/>
          <w:color w:val="000000"/>
          <w:sz w:val="18"/>
          <w:szCs w:val="18"/>
        </w:rPr>
        <w:t>according</w:t>
      </w:r>
      <w:r w:rsidR="008C60FF">
        <w:rPr>
          <w:rFonts w:ascii="Times New Roman" w:hAnsi="Times New Roman" w:cs="Times New Roman"/>
          <w:bCs/>
          <w:color w:val="000000"/>
          <w:sz w:val="18"/>
          <w:szCs w:val="18"/>
        </w:rPr>
        <w:t xml:space="preserve"> to</w:t>
      </w:r>
      <w:r w:rsidRPr="00094347">
        <w:rPr>
          <w:rFonts w:ascii="Times New Roman" w:hAnsi="Times New Roman" w:cs="Times New Roman"/>
          <w:bCs/>
          <w:color w:val="000000"/>
          <w:sz w:val="18"/>
          <w:szCs w:val="18"/>
        </w:rPr>
        <w:t xml:space="preserve"> </w:t>
      </w:r>
      <w:r w:rsidR="008C60FF">
        <w:rPr>
          <w:rFonts w:ascii="Times New Roman" w:hAnsi="Times New Roman" w:cs="Times New Roman"/>
          <w:bCs/>
          <w:color w:val="000000"/>
          <w:sz w:val="18"/>
          <w:szCs w:val="18"/>
        </w:rPr>
        <w:t>[25], Palestinian companies</w:t>
      </w:r>
      <w:r w:rsidRPr="00094347">
        <w:rPr>
          <w:rFonts w:ascii="Times New Roman" w:hAnsi="Times New Roman" w:cs="Times New Roman"/>
          <w:bCs/>
          <w:color w:val="000000"/>
          <w:sz w:val="18"/>
          <w:szCs w:val="18"/>
        </w:rPr>
        <w:t xml:space="preserve"> listed on the PEX disclosed around 41.7% and 30.8% of the VDI items in 2011 and 2007, respectively. Additionally, </w:t>
      </w:r>
      <w:r w:rsidR="008C60FF">
        <w:rPr>
          <w:rFonts w:ascii="Times New Roman" w:hAnsi="Times New Roman" w:cs="Times New Roman"/>
          <w:bCs/>
          <w:color w:val="000000"/>
          <w:sz w:val="18"/>
          <w:szCs w:val="18"/>
        </w:rPr>
        <w:t xml:space="preserve">[28] </w:t>
      </w:r>
      <w:r w:rsidRPr="00094347">
        <w:rPr>
          <w:rFonts w:ascii="Times New Roman" w:hAnsi="Times New Roman" w:cs="Times New Roman"/>
          <w:bCs/>
          <w:color w:val="000000"/>
          <w:sz w:val="18"/>
          <w:szCs w:val="18"/>
        </w:rPr>
        <w:t>found that Palestinian companies listed on PEX disclosed approximately 54% of the VDI items.</w:t>
      </w:r>
    </w:p>
    <w:p w14:paraId="708C8B67" w14:textId="77777777" w:rsidR="00094347" w:rsidRPr="00094347" w:rsidRDefault="00094347" w:rsidP="00094347">
      <w:pPr>
        <w:bidi w:val="0"/>
        <w:spacing w:after="0" w:line="240" w:lineRule="auto"/>
        <w:jc w:val="both"/>
        <w:rPr>
          <w:rFonts w:ascii="Times New Roman" w:hAnsi="Times New Roman" w:cs="Times New Roman"/>
          <w:bCs/>
          <w:color w:val="000000"/>
          <w:sz w:val="18"/>
          <w:szCs w:val="18"/>
        </w:rPr>
      </w:pPr>
    </w:p>
    <w:p w14:paraId="11484D93" w14:textId="63BC8854" w:rsidR="00094347" w:rsidRDefault="00094347" w:rsidP="00C23061">
      <w:pPr>
        <w:bidi w:val="0"/>
        <w:spacing w:after="0" w:line="240" w:lineRule="auto"/>
        <w:jc w:val="both"/>
        <w:rPr>
          <w:rFonts w:ascii="Times New Roman" w:hAnsi="Times New Roman" w:cs="Times New Roman"/>
          <w:bCs/>
          <w:color w:val="000000"/>
          <w:sz w:val="18"/>
          <w:szCs w:val="18"/>
        </w:rPr>
      </w:pPr>
      <w:r w:rsidRPr="00094347">
        <w:rPr>
          <w:rFonts w:ascii="Times New Roman" w:hAnsi="Times New Roman" w:cs="Times New Roman"/>
          <w:bCs/>
          <w:color w:val="000000"/>
          <w:sz w:val="18"/>
          <w:szCs w:val="18"/>
        </w:rPr>
        <w:t>Moreover, Table 2 highlights that the average number of board members for Palestinian</w:t>
      </w:r>
      <w:r w:rsidR="00B45FA3">
        <w:rPr>
          <w:rFonts w:ascii="Times New Roman" w:hAnsi="Times New Roman" w:cs="Times New Roman"/>
          <w:bCs/>
          <w:color w:val="000000"/>
          <w:sz w:val="18"/>
          <w:szCs w:val="18"/>
        </w:rPr>
        <w:t>-</w:t>
      </w:r>
      <w:r w:rsidRPr="00094347">
        <w:rPr>
          <w:rFonts w:ascii="Times New Roman" w:hAnsi="Times New Roman" w:cs="Times New Roman"/>
          <w:bCs/>
          <w:color w:val="000000"/>
          <w:sz w:val="18"/>
          <w:szCs w:val="18"/>
        </w:rPr>
        <w:t xml:space="preserve">listed companies on the PEX is around nine. The minimum number of board members is five, while the maximum is 15. However, the corporate governance code for publicly listed companies in Palestine allows for up to 11 members on the board, indicating non-compliance by some companies. Notably, </w:t>
      </w:r>
      <w:r w:rsidR="00B45FA3">
        <w:rPr>
          <w:rFonts w:ascii="Times New Roman" w:hAnsi="Times New Roman" w:cs="Times New Roman"/>
          <w:bCs/>
          <w:color w:val="000000"/>
          <w:sz w:val="18"/>
          <w:szCs w:val="18"/>
        </w:rPr>
        <w:t>most directors (91.5%) are independent, meaning</w:t>
      </w:r>
      <w:r w:rsidRPr="00094347">
        <w:rPr>
          <w:rFonts w:ascii="Times New Roman" w:hAnsi="Times New Roman" w:cs="Times New Roman"/>
          <w:bCs/>
          <w:color w:val="000000"/>
          <w:sz w:val="18"/>
          <w:szCs w:val="18"/>
        </w:rPr>
        <w:t xml:space="preserve"> they do </w:t>
      </w:r>
      <w:r w:rsidRPr="00094347">
        <w:rPr>
          <w:rFonts w:ascii="Times New Roman" w:hAnsi="Times New Roman" w:cs="Times New Roman"/>
          <w:bCs/>
          <w:color w:val="000000"/>
          <w:sz w:val="18"/>
          <w:szCs w:val="18"/>
        </w:rPr>
        <w:lastRenderedPageBreak/>
        <w:t>not hold any executive positions within the companies they serve. Additionally, female directors constitute an average of 5.77% of the total board members in the sampled companies, which is relatively low.</w:t>
      </w:r>
    </w:p>
    <w:p w14:paraId="4989BD81" w14:textId="77777777" w:rsidR="00094347" w:rsidRDefault="00094347" w:rsidP="00094347">
      <w:pPr>
        <w:bidi w:val="0"/>
        <w:spacing w:after="0" w:line="240" w:lineRule="auto"/>
        <w:jc w:val="both"/>
        <w:rPr>
          <w:rFonts w:ascii="Times New Roman" w:hAnsi="Times New Roman" w:cs="Times New Roman"/>
          <w:bCs/>
          <w:color w:val="000000"/>
          <w:sz w:val="18"/>
          <w:szCs w:val="18"/>
        </w:rPr>
      </w:pPr>
    </w:p>
    <w:p w14:paraId="3F5DF204" w14:textId="5335CD8D" w:rsidR="00094347" w:rsidRPr="00610134" w:rsidRDefault="00094347" w:rsidP="00610134">
      <w:pPr>
        <w:pStyle w:val="ListParagraph"/>
        <w:keepNext/>
        <w:numPr>
          <w:ilvl w:val="1"/>
          <w:numId w:val="3"/>
        </w:numPr>
        <w:bidi w:val="0"/>
        <w:spacing w:after="0" w:line="240" w:lineRule="auto"/>
        <w:jc w:val="both"/>
        <w:outlineLvl w:val="0"/>
        <w:rPr>
          <w:bCs/>
        </w:rPr>
      </w:pPr>
      <w:r w:rsidRPr="00610134">
        <w:rPr>
          <w:rFonts w:ascii="Times New Roman" w:hAnsi="Times New Roman" w:cs="Times New Roman"/>
          <w:b/>
          <w:color w:val="000000"/>
          <w:kern w:val="32"/>
          <w:sz w:val="18"/>
          <w:szCs w:val="18"/>
          <w:lang w:val="x-none" w:eastAsia="x-none"/>
        </w:rPr>
        <w:t xml:space="preserve">Normality, </w:t>
      </w:r>
      <w:proofErr w:type="spellStart"/>
      <w:r w:rsidRPr="00610134">
        <w:rPr>
          <w:rFonts w:ascii="Times New Roman" w:hAnsi="Times New Roman" w:cs="Times New Roman"/>
          <w:b/>
          <w:color w:val="000000"/>
          <w:kern w:val="32"/>
          <w:sz w:val="18"/>
          <w:szCs w:val="18"/>
          <w:lang w:val="x-none" w:eastAsia="x-none"/>
        </w:rPr>
        <w:t>multicollinearity</w:t>
      </w:r>
      <w:proofErr w:type="spellEnd"/>
      <w:r w:rsidRPr="00610134">
        <w:rPr>
          <w:rFonts w:ascii="Times New Roman" w:hAnsi="Times New Roman" w:cs="Times New Roman"/>
          <w:b/>
          <w:color w:val="000000"/>
          <w:kern w:val="32"/>
          <w:sz w:val="18"/>
          <w:szCs w:val="18"/>
          <w:lang w:val="x-none" w:eastAsia="x-none"/>
        </w:rPr>
        <w:t>, and heteroscedasticity</w:t>
      </w:r>
    </w:p>
    <w:p w14:paraId="7F2826C1" w14:textId="77777777" w:rsidR="00094347" w:rsidRPr="00094347" w:rsidRDefault="00094347" w:rsidP="00094347">
      <w:pPr>
        <w:bidi w:val="0"/>
        <w:spacing w:after="0" w:line="240" w:lineRule="auto"/>
        <w:jc w:val="both"/>
        <w:rPr>
          <w:rFonts w:ascii="Times New Roman" w:hAnsi="Times New Roman" w:cs="Times New Roman"/>
          <w:bCs/>
          <w:color w:val="000000"/>
          <w:sz w:val="18"/>
          <w:szCs w:val="18"/>
        </w:rPr>
      </w:pPr>
    </w:p>
    <w:p w14:paraId="0EEEA9A7" w14:textId="0D24D693" w:rsidR="00094347" w:rsidRDefault="00094347" w:rsidP="00094347">
      <w:pPr>
        <w:bidi w:val="0"/>
        <w:spacing w:after="0" w:line="240" w:lineRule="auto"/>
        <w:jc w:val="both"/>
        <w:rPr>
          <w:rFonts w:ascii="Times New Roman" w:hAnsi="Times New Roman" w:cs="Times New Roman"/>
          <w:bCs/>
          <w:color w:val="000000"/>
          <w:sz w:val="18"/>
          <w:szCs w:val="18"/>
        </w:rPr>
      </w:pPr>
      <w:r w:rsidRPr="00094347">
        <w:rPr>
          <w:rFonts w:ascii="Times New Roman" w:hAnsi="Times New Roman" w:cs="Times New Roman"/>
          <w:bCs/>
          <w:color w:val="000000"/>
          <w:sz w:val="18"/>
          <w:szCs w:val="18"/>
        </w:rPr>
        <w:t xml:space="preserve">Before performing a regression analysis, </w:t>
      </w:r>
      <w:r w:rsidR="00B45FA3">
        <w:rPr>
          <w:rFonts w:ascii="Times New Roman" w:hAnsi="Times New Roman" w:cs="Times New Roman"/>
          <w:bCs/>
          <w:color w:val="000000"/>
          <w:sz w:val="18"/>
          <w:szCs w:val="18"/>
        </w:rPr>
        <w:t xml:space="preserve">assessing the data for normality, </w:t>
      </w:r>
      <w:proofErr w:type="spellStart"/>
      <w:r w:rsidR="00B45FA3">
        <w:rPr>
          <w:rFonts w:ascii="Times New Roman" w:hAnsi="Times New Roman" w:cs="Times New Roman"/>
          <w:bCs/>
          <w:color w:val="000000"/>
          <w:sz w:val="18"/>
          <w:szCs w:val="18"/>
        </w:rPr>
        <w:t>multicollinearity</w:t>
      </w:r>
      <w:proofErr w:type="spellEnd"/>
      <w:r w:rsidR="00B45FA3">
        <w:rPr>
          <w:rFonts w:ascii="Times New Roman" w:hAnsi="Times New Roman" w:cs="Times New Roman"/>
          <w:bCs/>
          <w:color w:val="000000"/>
          <w:sz w:val="18"/>
          <w:szCs w:val="18"/>
        </w:rPr>
        <w:t>, and heteroscedasticity is crucial</w:t>
      </w:r>
      <w:r w:rsidRPr="00094347">
        <w:rPr>
          <w:rFonts w:ascii="Times New Roman" w:hAnsi="Times New Roman" w:cs="Times New Roman"/>
          <w:bCs/>
          <w:color w:val="000000"/>
          <w:sz w:val="18"/>
          <w:szCs w:val="18"/>
        </w:rPr>
        <w:t xml:space="preserve">. Normality indicates that the data should have an approximately normal distribution to satisfy statistical assumptions </w:t>
      </w:r>
      <w:r w:rsidR="00681440">
        <w:rPr>
          <w:rFonts w:ascii="Times New Roman" w:hAnsi="Times New Roman" w:cs="Times New Roman"/>
          <w:bCs/>
          <w:color w:val="000000"/>
          <w:sz w:val="18"/>
          <w:szCs w:val="18"/>
        </w:rPr>
        <w:t>[56]</w:t>
      </w:r>
      <w:r w:rsidRPr="00094347">
        <w:rPr>
          <w:rFonts w:ascii="Times New Roman" w:hAnsi="Times New Roman" w:cs="Times New Roman"/>
          <w:bCs/>
          <w:color w:val="000000"/>
          <w:sz w:val="18"/>
          <w:szCs w:val="18"/>
        </w:rPr>
        <w:t xml:space="preserve">. </w:t>
      </w:r>
      <w:proofErr w:type="spellStart"/>
      <w:r w:rsidRPr="00094347">
        <w:rPr>
          <w:rFonts w:ascii="Times New Roman" w:hAnsi="Times New Roman" w:cs="Times New Roman"/>
          <w:bCs/>
          <w:color w:val="000000"/>
          <w:sz w:val="18"/>
          <w:szCs w:val="18"/>
        </w:rPr>
        <w:t>Multicollinearity</w:t>
      </w:r>
      <w:proofErr w:type="spellEnd"/>
      <w:r w:rsidRPr="00094347">
        <w:rPr>
          <w:rFonts w:ascii="Times New Roman" w:hAnsi="Times New Roman" w:cs="Times New Roman"/>
          <w:bCs/>
          <w:color w:val="000000"/>
          <w:sz w:val="18"/>
          <w:szCs w:val="18"/>
        </w:rPr>
        <w:t xml:space="preserve"> occurs when </w:t>
      </w:r>
      <w:r w:rsidR="00B45FA3">
        <w:rPr>
          <w:rFonts w:ascii="Times New Roman" w:hAnsi="Times New Roman" w:cs="Times New Roman"/>
          <w:bCs/>
          <w:color w:val="000000"/>
          <w:sz w:val="18"/>
          <w:szCs w:val="18"/>
        </w:rPr>
        <w:t>highly correlated predictor variables lead</w:t>
      </w:r>
      <w:r w:rsidRPr="00094347">
        <w:rPr>
          <w:rFonts w:ascii="Times New Roman" w:hAnsi="Times New Roman" w:cs="Times New Roman"/>
          <w:bCs/>
          <w:color w:val="000000"/>
          <w:sz w:val="18"/>
          <w:szCs w:val="18"/>
        </w:rPr>
        <w:t xml:space="preserve"> to </w:t>
      </w:r>
      <w:r w:rsidR="00B45FA3">
        <w:rPr>
          <w:rFonts w:ascii="Times New Roman" w:hAnsi="Times New Roman" w:cs="Times New Roman"/>
          <w:bCs/>
          <w:color w:val="000000"/>
          <w:sz w:val="18"/>
          <w:szCs w:val="18"/>
        </w:rPr>
        <w:t>inconsistent</w:t>
      </w:r>
      <w:r w:rsidRPr="00094347">
        <w:rPr>
          <w:rFonts w:ascii="Times New Roman" w:hAnsi="Times New Roman" w:cs="Times New Roman"/>
          <w:bCs/>
          <w:color w:val="000000"/>
          <w:sz w:val="18"/>
          <w:szCs w:val="18"/>
        </w:rPr>
        <w:t xml:space="preserve"> and unreliable results </w:t>
      </w:r>
      <w:r w:rsidR="00681440">
        <w:rPr>
          <w:rFonts w:ascii="Times New Roman" w:hAnsi="Times New Roman" w:cs="Times New Roman"/>
          <w:bCs/>
          <w:color w:val="000000"/>
          <w:sz w:val="18"/>
          <w:szCs w:val="18"/>
        </w:rPr>
        <w:t>[56]</w:t>
      </w:r>
      <w:r w:rsidRPr="00094347">
        <w:rPr>
          <w:rFonts w:ascii="Times New Roman" w:hAnsi="Times New Roman" w:cs="Times New Roman"/>
          <w:bCs/>
          <w:color w:val="000000"/>
          <w:sz w:val="18"/>
          <w:szCs w:val="18"/>
        </w:rPr>
        <w:t xml:space="preserve">. Lastly, heteroscedasticity refers to the presence of unequal variances in the errors, which can affect the accuracy of the results </w:t>
      </w:r>
      <w:r w:rsidR="00681440">
        <w:rPr>
          <w:rFonts w:ascii="Times New Roman" w:hAnsi="Times New Roman" w:cs="Times New Roman"/>
          <w:bCs/>
          <w:color w:val="000000"/>
          <w:sz w:val="18"/>
          <w:szCs w:val="18"/>
        </w:rPr>
        <w:t>[56]</w:t>
      </w:r>
      <w:r w:rsidRPr="00094347">
        <w:rPr>
          <w:rFonts w:ascii="Times New Roman" w:hAnsi="Times New Roman" w:cs="Times New Roman"/>
          <w:bCs/>
          <w:color w:val="000000"/>
          <w:sz w:val="18"/>
          <w:szCs w:val="18"/>
        </w:rPr>
        <w:t xml:space="preserve">. Therefore, it is necessary to investigate these issues to ensure the reliability and validity of the regression analysis </w:t>
      </w:r>
      <w:r w:rsidR="00681440">
        <w:rPr>
          <w:rFonts w:ascii="Times New Roman" w:hAnsi="Times New Roman" w:cs="Times New Roman"/>
          <w:bCs/>
          <w:color w:val="000000"/>
          <w:sz w:val="18"/>
          <w:szCs w:val="18"/>
        </w:rPr>
        <w:t>[56]</w:t>
      </w:r>
      <w:r w:rsidRPr="00094347">
        <w:rPr>
          <w:rFonts w:ascii="Times New Roman" w:hAnsi="Times New Roman" w:cs="Times New Roman"/>
          <w:bCs/>
          <w:color w:val="000000"/>
          <w:sz w:val="18"/>
          <w:szCs w:val="18"/>
        </w:rPr>
        <w:t>.</w:t>
      </w:r>
    </w:p>
    <w:p w14:paraId="6BE930B9" w14:textId="77777777" w:rsidR="00094347" w:rsidRPr="00094347" w:rsidRDefault="00094347" w:rsidP="00094347">
      <w:pPr>
        <w:bidi w:val="0"/>
        <w:spacing w:after="0" w:line="240" w:lineRule="auto"/>
        <w:jc w:val="both"/>
        <w:rPr>
          <w:rFonts w:ascii="Times New Roman" w:hAnsi="Times New Roman" w:cs="Times New Roman"/>
          <w:bCs/>
          <w:color w:val="000000"/>
          <w:sz w:val="18"/>
          <w:szCs w:val="18"/>
        </w:rPr>
      </w:pPr>
    </w:p>
    <w:p w14:paraId="74EF31CC" w14:textId="1A2591D7" w:rsidR="00094347" w:rsidRDefault="00094347" w:rsidP="00094347">
      <w:pPr>
        <w:bidi w:val="0"/>
        <w:spacing w:after="0" w:line="240" w:lineRule="auto"/>
        <w:jc w:val="both"/>
        <w:rPr>
          <w:rFonts w:ascii="Times New Roman" w:hAnsi="Times New Roman" w:cs="Times New Roman"/>
          <w:bCs/>
          <w:color w:val="000000"/>
          <w:sz w:val="18"/>
          <w:szCs w:val="18"/>
        </w:rPr>
      </w:pPr>
      <w:r w:rsidRPr="00094347">
        <w:rPr>
          <w:rFonts w:ascii="Times New Roman" w:hAnsi="Times New Roman" w:cs="Times New Roman"/>
          <w:bCs/>
          <w:color w:val="000000"/>
          <w:sz w:val="18"/>
          <w:szCs w:val="18"/>
        </w:rPr>
        <w:t>The normality of the residuals was evaluated using the Shapiro-Wilk W test, and the results indicate that the p-value of 0.464 was not statistically significant at the 0.05 level (refer to Table 3). Thus, the residuals can be assumed to follow a normal distribution, which is a critical assumption for many statistical analyses. These findings provide support for using parametric statistical methods for the data analysis.</w:t>
      </w:r>
    </w:p>
    <w:p w14:paraId="4333E6CC" w14:textId="392A04AA" w:rsidR="00094347" w:rsidRDefault="00094347" w:rsidP="00094347">
      <w:pPr>
        <w:bidi w:val="0"/>
        <w:spacing w:after="0" w:line="240" w:lineRule="auto"/>
        <w:jc w:val="both"/>
        <w:rPr>
          <w:rFonts w:ascii="Times New Roman" w:hAnsi="Times New Roman" w:cs="Times New Roman"/>
          <w:bCs/>
          <w:color w:val="000000"/>
          <w:sz w:val="18"/>
          <w:szCs w:val="18"/>
        </w:rPr>
      </w:pPr>
    </w:p>
    <w:p w14:paraId="6EB1D6DF" w14:textId="40BF3529" w:rsidR="00094347" w:rsidRPr="00094347" w:rsidRDefault="00094347" w:rsidP="00094347">
      <w:pPr>
        <w:widowControl w:val="0"/>
        <w:autoSpaceDE w:val="0"/>
        <w:autoSpaceDN w:val="0"/>
        <w:adjustRightInd w:val="0"/>
        <w:spacing w:after="0" w:line="240" w:lineRule="auto"/>
        <w:jc w:val="center"/>
        <w:rPr>
          <w:rFonts w:ascii="Times New Roman" w:hAnsi="Times New Roman" w:cs="Times New Roman"/>
          <w:b/>
          <w:bCs/>
          <w:sz w:val="18"/>
          <w:szCs w:val="18"/>
        </w:rPr>
      </w:pPr>
      <w:r w:rsidRPr="00094347">
        <w:rPr>
          <w:rFonts w:ascii="Times New Roman" w:hAnsi="Times New Roman" w:cs="Times New Roman"/>
          <w:b/>
          <w:bCs/>
          <w:sz w:val="18"/>
          <w:szCs w:val="18"/>
        </w:rPr>
        <w:t>Table 3. Shapiro-Wilk W test for normal data</w:t>
      </w:r>
    </w:p>
    <w:tbl>
      <w:tblPr>
        <w:tblW w:w="0" w:type="auto"/>
        <w:tblLayout w:type="fixed"/>
        <w:tblLook w:val="0000" w:firstRow="0" w:lastRow="0" w:firstColumn="0" w:lastColumn="0" w:noHBand="0" w:noVBand="0"/>
      </w:tblPr>
      <w:tblGrid>
        <w:gridCol w:w="1608"/>
        <w:gridCol w:w="1200"/>
        <w:gridCol w:w="1200"/>
        <w:gridCol w:w="1200"/>
        <w:gridCol w:w="1200"/>
        <w:gridCol w:w="1200"/>
      </w:tblGrid>
      <w:tr w:rsidR="00094347" w:rsidRPr="00094347" w14:paraId="31445243" w14:textId="77777777" w:rsidTr="00414E90">
        <w:tc>
          <w:tcPr>
            <w:tcW w:w="1608" w:type="dxa"/>
            <w:tcBorders>
              <w:top w:val="single" w:sz="4" w:space="0" w:color="auto"/>
              <w:left w:val="nil"/>
              <w:bottom w:val="single" w:sz="4" w:space="0" w:color="auto"/>
              <w:right w:val="nil"/>
            </w:tcBorders>
          </w:tcPr>
          <w:p w14:paraId="378D1249"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 xml:space="preserve">Variable </w:t>
            </w:r>
          </w:p>
        </w:tc>
        <w:tc>
          <w:tcPr>
            <w:tcW w:w="1200" w:type="dxa"/>
            <w:tcBorders>
              <w:top w:val="single" w:sz="4" w:space="0" w:color="auto"/>
              <w:left w:val="nil"/>
              <w:bottom w:val="single" w:sz="4" w:space="0" w:color="auto"/>
              <w:right w:val="nil"/>
            </w:tcBorders>
          </w:tcPr>
          <w:p w14:paraId="3A035C4D"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proofErr w:type="spellStart"/>
            <w:r w:rsidRPr="00094347">
              <w:rPr>
                <w:rFonts w:ascii="Times New Roman" w:hAnsi="Times New Roman" w:cs="Times New Roman"/>
                <w:sz w:val="18"/>
                <w:szCs w:val="18"/>
              </w:rPr>
              <w:t>Obs</w:t>
            </w:r>
            <w:proofErr w:type="spellEnd"/>
          </w:p>
        </w:tc>
        <w:tc>
          <w:tcPr>
            <w:tcW w:w="1200" w:type="dxa"/>
            <w:tcBorders>
              <w:top w:val="single" w:sz="4" w:space="0" w:color="auto"/>
              <w:left w:val="nil"/>
              <w:bottom w:val="single" w:sz="4" w:space="0" w:color="auto"/>
              <w:right w:val="nil"/>
            </w:tcBorders>
          </w:tcPr>
          <w:p w14:paraId="2DF8D163"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W</w:t>
            </w:r>
          </w:p>
        </w:tc>
        <w:tc>
          <w:tcPr>
            <w:tcW w:w="1200" w:type="dxa"/>
            <w:tcBorders>
              <w:top w:val="single" w:sz="4" w:space="0" w:color="auto"/>
              <w:left w:val="nil"/>
              <w:bottom w:val="single" w:sz="4" w:space="0" w:color="auto"/>
              <w:right w:val="nil"/>
            </w:tcBorders>
          </w:tcPr>
          <w:p w14:paraId="3D858D85"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V</w:t>
            </w:r>
          </w:p>
        </w:tc>
        <w:tc>
          <w:tcPr>
            <w:tcW w:w="1200" w:type="dxa"/>
            <w:tcBorders>
              <w:top w:val="single" w:sz="4" w:space="0" w:color="auto"/>
              <w:left w:val="nil"/>
              <w:bottom w:val="single" w:sz="4" w:space="0" w:color="auto"/>
              <w:right w:val="nil"/>
            </w:tcBorders>
          </w:tcPr>
          <w:p w14:paraId="4792F6E4" w14:textId="3580229F" w:rsidR="00094347" w:rsidRPr="00094347" w:rsidRDefault="00E537E5"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Z</w:t>
            </w:r>
          </w:p>
        </w:tc>
        <w:tc>
          <w:tcPr>
            <w:tcW w:w="1200" w:type="dxa"/>
            <w:tcBorders>
              <w:top w:val="single" w:sz="4" w:space="0" w:color="auto"/>
              <w:left w:val="nil"/>
              <w:bottom w:val="single" w:sz="4" w:space="0" w:color="auto"/>
              <w:right w:val="nil"/>
            </w:tcBorders>
          </w:tcPr>
          <w:p w14:paraId="6C165EEB"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proofErr w:type="spellStart"/>
            <w:r w:rsidRPr="00094347">
              <w:rPr>
                <w:rFonts w:ascii="Times New Roman" w:hAnsi="Times New Roman" w:cs="Times New Roman"/>
                <w:sz w:val="18"/>
                <w:szCs w:val="18"/>
              </w:rPr>
              <w:t>Prob</w:t>
            </w:r>
            <w:proofErr w:type="spellEnd"/>
            <w:r w:rsidRPr="00094347">
              <w:rPr>
                <w:rFonts w:ascii="Times New Roman" w:hAnsi="Times New Roman" w:cs="Times New Roman"/>
                <w:sz w:val="18"/>
                <w:szCs w:val="18"/>
              </w:rPr>
              <w:t>&gt;z</w:t>
            </w:r>
          </w:p>
        </w:tc>
      </w:tr>
      <w:tr w:rsidR="00094347" w:rsidRPr="00094347" w14:paraId="1BFAB1AB" w14:textId="77777777" w:rsidTr="00414E90">
        <w:tc>
          <w:tcPr>
            <w:tcW w:w="7608" w:type="dxa"/>
            <w:gridSpan w:val="6"/>
            <w:tcBorders>
              <w:top w:val="single" w:sz="4" w:space="0" w:color="auto"/>
              <w:left w:val="nil"/>
              <w:bottom w:val="single" w:sz="10" w:space="0" w:color="auto"/>
              <w:right w:val="nil"/>
            </w:tcBorders>
          </w:tcPr>
          <w:tbl>
            <w:tblPr>
              <w:tblW w:w="0" w:type="auto"/>
              <w:tblLayout w:type="fixed"/>
              <w:tblLook w:val="0000" w:firstRow="0" w:lastRow="0" w:firstColumn="0" w:lastColumn="0" w:noHBand="0" w:noVBand="0"/>
            </w:tblPr>
            <w:tblGrid>
              <w:gridCol w:w="1608"/>
              <w:gridCol w:w="1200"/>
              <w:gridCol w:w="1200"/>
              <w:gridCol w:w="1200"/>
              <w:gridCol w:w="1200"/>
              <w:gridCol w:w="1200"/>
            </w:tblGrid>
            <w:tr w:rsidR="00094347" w:rsidRPr="00094347" w14:paraId="0BAD3814" w14:textId="77777777" w:rsidTr="00414E90">
              <w:tc>
                <w:tcPr>
                  <w:tcW w:w="1608" w:type="dxa"/>
                  <w:tcBorders>
                    <w:top w:val="nil"/>
                    <w:left w:val="nil"/>
                    <w:bottom w:val="nil"/>
                    <w:right w:val="nil"/>
                  </w:tcBorders>
                </w:tcPr>
                <w:p w14:paraId="2514959B"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Residuals</w:t>
                  </w:r>
                </w:p>
              </w:tc>
              <w:tc>
                <w:tcPr>
                  <w:tcW w:w="1200" w:type="dxa"/>
                  <w:tcBorders>
                    <w:top w:val="nil"/>
                    <w:left w:val="nil"/>
                    <w:bottom w:val="nil"/>
                    <w:right w:val="nil"/>
                  </w:tcBorders>
                </w:tcPr>
                <w:p w14:paraId="21BC16CE"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225</w:t>
                  </w:r>
                </w:p>
              </w:tc>
              <w:tc>
                <w:tcPr>
                  <w:tcW w:w="1200" w:type="dxa"/>
                  <w:tcBorders>
                    <w:top w:val="nil"/>
                    <w:left w:val="nil"/>
                    <w:bottom w:val="nil"/>
                    <w:right w:val="nil"/>
                  </w:tcBorders>
                </w:tcPr>
                <w:p w14:paraId="47C398DA"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 xml:space="preserve">    0.994</w:t>
                  </w:r>
                </w:p>
              </w:tc>
              <w:tc>
                <w:tcPr>
                  <w:tcW w:w="1200" w:type="dxa"/>
                  <w:tcBorders>
                    <w:top w:val="nil"/>
                    <w:left w:val="nil"/>
                    <w:bottom w:val="nil"/>
                    <w:right w:val="nil"/>
                  </w:tcBorders>
                </w:tcPr>
                <w:p w14:paraId="35CBCFFE"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 xml:space="preserve">    1.055</w:t>
                  </w:r>
                </w:p>
              </w:tc>
              <w:tc>
                <w:tcPr>
                  <w:tcW w:w="1200" w:type="dxa"/>
                  <w:tcBorders>
                    <w:top w:val="nil"/>
                    <w:left w:val="nil"/>
                    <w:bottom w:val="nil"/>
                    <w:right w:val="nil"/>
                  </w:tcBorders>
                </w:tcPr>
                <w:p w14:paraId="66F71338"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 xml:space="preserve">    0.123</w:t>
                  </w:r>
                </w:p>
              </w:tc>
              <w:tc>
                <w:tcPr>
                  <w:tcW w:w="1200" w:type="dxa"/>
                  <w:tcBorders>
                    <w:top w:val="nil"/>
                    <w:left w:val="nil"/>
                    <w:bottom w:val="nil"/>
                    <w:right w:val="nil"/>
                  </w:tcBorders>
                </w:tcPr>
                <w:p w14:paraId="2FA94448"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r w:rsidRPr="00094347">
                    <w:rPr>
                      <w:rFonts w:ascii="Times New Roman" w:hAnsi="Times New Roman" w:cs="Times New Roman"/>
                      <w:sz w:val="18"/>
                      <w:szCs w:val="18"/>
                    </w:rPr>
                    <w:t xml:space="preserve">    0.451</w:t>
                  </w:r>
                </w:p>
              </w:tc>
            </w:tr>
          </w:tbl>
          <w:p w14:paraId="0F4D1A68" w14:textId="77777777" w:rsidR="00094347" w:rsidRPr="00094347" w:rsidRDefault="00094347" w:rsidP="00414E90">
            <w:pPr>
              <w:widowControl w:val="0"/>
              <w:autoSpaceDE w:val="0"/>
              <w:autoSpaceDN w:val="0"/>
              <w:adjustRightInd w:val="0"/>
              <w:spacing w:after="0" w:line="240" w:lineRule="auto"/>
              <w:rPr>
                <w:rFonts w:ascii="Times New Roman" w:hAnsi="Times New Roman" w:cs="Times New Roman"/>
                <w:sz w:val="18"/>
                <w:szCs w:val="18"/>
              </w:rPr>
            </w:pPr>
          </w:p>
        </w:tc>
      </w:tr>
    </w:tbl>
    <w:p w14:paraId="3418B32B" w14:textId="77777777" w:rsidR="00094347" w:rsidRPr="00094347" w:rsidRDefault="00094347" w:rsidP="00094347">
      <w:pPr>
        <w:bidi w:val="0"/>
        <w:spacing w:after="0" w:line="240" w:lineRule="auto"/>
        <w:jc w:val="both"/>
        <w:rPr>
          <w:rFonts w:ascii="Times New Roman" w:hAnsi="Times New Roman" w:cs="Times New Roman"/>
          <w:bCs/>
          <w:color w:val="000000"/>
          <w:sz w:val="18"/>
          <w:szCs w:val="18"/>
        </w:rPr>
      </w:pPr>
    </w:p>
    <w:p w14:paraId="17565FEA" w14:textId="427FF5CB" w:rsidR="00094347" w:rsidRDefault="00094347" w:rsidP="00094347">
      <w:pPr>
        <w:bidi w:val="0"/>
        <w:spacing w:after="0" w:line="240" w:lineRule="auto"/>
        <w:jc w:val="both"/>
        <w:rPr>
          <w:rFonts w:ascii="Times New Roman" w:hAnsi="Times New Roman" w:cs="Times New Roman"/>
          <w:bCs/>
          <w:color w:val="000000"/>
          <w:sz w:val="18"/>
          <w:szCs w:val="18"/>
        </w:rPr>
      </w:pPr>
      <w:r w:rsidRPr="00094347">
        <w:rPr>
          <w:rFonts w:ascii="Times New Roman" w:hAnsi="Times New Roman" w:cs="Times New Roman"/>
          <w:bCs/>
          <w:color w:val="000000"/>
          <w:sz w:val="18"/>
          <w:szCs w:val="18"/>
        </w:rPr>
        <w:t>Pearson</w:t>
      </w:r>
      <w:r w:rsidR="00B45FA3">
        <w:rPr>
          <w:rFonts w:ascii="Times New Roman" w:hAnsi="Times New Roman" w:cs="Times New Roman"/>
          <w:bCs/>
          <w:color w:val="000000"/>
          <w:sz w:val="18"/>
          <w:szCs w:val="18"/>
        </w:rPr>
        <w:t>’</w:t>
      </w:r>
      <w:r w:rsidRPr="00094347">
        <w:rPr>
          <w:rFonts w:ascii="Times New Roman" w:hAnsi="Times New Roman" w:cs="Times New Roman"/>
          <w:bCs/>
          <w:color w:val="000000"/>
          <w:sz w:val="18"/>
          <w:szCs w:val="18"/>
        </w:rPr>
        <w:t xml:space="preserve">s correlation was used to determine the presence of </w:t>
      </w:r>
      <w:proofErr w:type="spellStart"/>
      <w:r w:rsidRPr="00094347">
        <w:rPr>
          <w:rFonts w:ascii="Times New Roman" w:hAnsi="Times New Roman" w:cs="Times New Roman"/>
          <w:bCs/>
          <w:color w:val="000000"/>
          <w:sz w:val="18"/>
          <w:szCs w:val="18"/>
        </w:rPr>
        <w:t>multicollinearity</w:t>
      </w:r>
      <w:proofErr w:type="spellEnd"/>
      <w:r w:rsidRPr="00094347">
        <w:rPr>
          <w:rFonts w:ascii="Times New Roman" w:hAnsi="Times New Roman" w:cs="Times New Roman"/>
          <w:bCs/>
          <w:color w:val="000000"/>
          <w:sz w:val="18"/>
          <w:szCs w:val="18"/>
        </w:rPr>
        <w:t xml:space="preserve"> among the study variables (refer to Table 4). The highest correlation, 0.</w:t>
      </w:r>
      <w:r w:rsidR="00610134">
        <w:rPr>
          <w:rFonts w:ascii="Times New Roman" w:hAnsi="Times New Roman" w:cs="Times New Roman"/>
          <w:bCs/>
          <w:color w:val="000000"/>
          <w:sz w:val="18"/>
          <w:szCs w:val="18"/>
        </w:rPr>
        <w:t>494</w:t>
      </w:r>
      <w:r w:rsidRPr="00094347">
        <w:rPr>
          <w:rFonts w:ascii="Times New Roman" w:hAnsi="Times New Roman" w:cs="Times New Roman"/>
          <w:bCs/>
          <w:color w:val="000000"/>
          <w:sz w:val="18"/>
          <w:szCs w:val="18"/>
        </w:rPr>
        <w:t xml:space="preserve">, was found between </w:t>
      </w:r>
      <w:r w:rsidR="00610134">
        <w:rPr>
          <w:rFonts w:ascii="Times New Roman" w:hAnsi="Times New Roman" w:cs="Times New Roman"/>
          <w:bCs/>
          <w:color w:val="000000"/>
          <w:sz w:val="18"/>
          <w:szCs w:val="18"/>
        </w:rPr>
        <w:t>FSIZE</w:t>
      </w:r>
      <w:r w:rsidRPr="00094347">
        <w:rPr>
          <w:rFonts w:ascii="Times New Roman" w:hAnsi="Times New Roman" w:cs="Times New Roman"/>
          <w:bCs/>
          <w:color w:val="000000"/>
          <w:sz w:val="18"/>
          <w:szCs w:val="18"/>
        </w:rPr>
        <w:t xml:space="preserve">. and </w:t>
      </w:r>
      <w:r w:rsidR="00610134">
        <w:rPr>
          <w:rFonts w:ascii="Times New Roman" w:hAnsi="Times New Roman" w:cs="Times New Roman"/>
          <w:bCs/>
          <w:color w:val="000000"/>
          <w:sz w:val="18"/>
          <w:szCs w:val="18"/>
        </w:rPr>
        <w:t>FAGE</w:t>
      </w:r>
      <w:r w:rsidRPr="00094347">
        <w:rPr>
          <w:rFonts w:ascii="Times New Roman" w:hAnsi="Times New Roman" w:cs="Times New Roman"/>
          <w:bCs/>
          <w:color w:val="000000"/>
          <w:sz w:val="18"/>
          <w:szCs w:val="18"/>
        </w:rPr>
        <w:t xml:space="preserve"> and the correlations among the variables were either low or moderate, indicating the absence of </w:t>
      </w:r>
      <w:proofErr w:type="spellStart"/>
      <w:r w:rsidRPr="00094347">
        <w:rPr>
          <w:rFonts w:ascii="Times New Roman" w:hAnsi="Times New Roman" w:cs="Times New Roman"/>
          <w:bCs/>
          <w:color w:val="000000"/>
          <w:sz w:val="18"/>
          <w:szCs w:val="18"/>
        </w:rPr>
        <w:t>multicollinearity</w:t>
      </w:r>
      <w:proofErr w:type="spellEnd"/>
      <w:r w:rsidRPr="00094347">
        <w:rPr>
          <w:rFonts w:ascii="Times New Roman" w:hAnsi="Times New Roman" w:cs="Times New Roman"/>
          <w:bCs/>
          <w:color w:val="000000"/>
          <w:sz w:val="18"/>
          <w:szCs w:val="18"/>
        </w:rPr>
        <w:t>.</w:t>
      </w:r>
    </w:p>
    <w:p w14:paraId="0EDBB3EA" w14:textId="02674E0D" w:rsidR="00094347" w:rsidRPr="00EA4357" w:rsidRDefault="00094347" w:rsidP="00094347">
      <w:pPr>
        <w:keepNext/>
        <w:numPr>
          <w:ilvl w:val="1"/>
          <w:numId w:val="0"/>
        </w:numPr>
        <w:bidi w:val="0"/>
        <w:spacing w:after="0" w:line="240" w:lineRule="auto"/>
        <w:ind w:left="567" w:hanging="567"/>
        <w:jc w:val="center"/>
        <w:outlineLvl w:val="1"/>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Table 4. </w:t>
      </w:r>
      <w:r w:rsidRPr="00EA4357">
        <w:rPr>
          <w:rFonts w:ascii="Times New Roman" w:hAnsi="Times New Roman" w:cs="Times New Roman"/>
          <w:b/>
          <w:bCs/>
          <w:color w:val="000000"/>
          <w:sz w:val="18"/>
          <w:szCs w:val="18"/>
        </w:rPr>
        <w:t>Correlation matrix</w:t>
      </w:r>
    </w:p>
    <w:tbl>
      <w:tblPr>
        <w:tblpPr w:leftFromText="180" w:rightFromText="180" w:vertAnchor="text" w:horzAnchor="margin" w:tblpY="90"/>
        <w:tblW w:w="8682" w:type="dxa"/>
        <w:tblLook w:val="0000" w:firstRow="0" w:lastRow="0" w:firstColumn="0" w:lastColumn="0" w:noHBand="0" w:noVBand="0"/>
      </w:tblPr>
      <w:tblGrid>
        <w:gridCol w:w="1448"/>
        <w:gridCol w:w="842"/>
        <w:gridCol w:w="924"/>
        <w:gridCol w:w="925"/>
        <w:gridCol w:w="925"/>
        <w:gridCol w:w="925"/>
        <w:gridCol w:w="925"/>
        <w:gridCol w:w="925"/>
        <w:gridCol w:w="843"/>
      </w:tblGrid>
      <w:tr w:rsidR="00094347" w:rsidRPr="001A08C7" w14:paraId="0370561E" w14:textId="77777777" w:rsidTr="00094347">
        <w:trPr>
          <w:trHeight w:val="255"/>
        </w:trPr>
        <w:tc>
          <w:tcPr>
            <w:tcW w:w="0" w:type="auto"/>
            <w:tcBorders>
              <w:top w:val="single" w:sz="4" w:space="0" w:color="auto"/>
              <w:left w:val="nil"/>
              <w:bottom w:val="single" w:sz="10" w:space="0" w:color="auto"/>
              <w:right w:val="nil"/>
            </w:tcBorders>
          </w:tcPr>
          <w:p w14:paraId="114D5F2A"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Variables</w:t>
            </w:r>
          </w:p>
        </w:tc>
        <w:tc>
          <w:tcPr>
            <w:tcW w:w="0" w:type="auto"/>
            <w:tcBorders>
              <w:top w:val="single" w:sz="4" w:space="0" w:color="auto"/>
              <w:left w:val="nil"/>
              <w:bottom w:val="single" w:sz="10" w:space="0" w:color="auto"/>
              <w:right w:val="nil"/>
            </w:tcBorders>
          </w:tcPr>
          <w:p w14:paraId="604886D4"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(1)</w:t>
            </w:r>
          </w:p>
        </w:tc>
        <w:tc>
          <w:tcPr>
            <w:tcW w:w="0" w:type="auto"/>
            <w:tcBorders>
              <w:top w:val="single" w:sz="4" w:space="0" w:color="auto"/>
              <w:left w:val="nil"/>
              <w:bottom w:val="single" w:sz="10" w:space="0" w:color="auto"/>
              <w:right w:val="nil"/>
            </w:tcBorders>
          </w:tcPr>
          <w:p w14:paraId="5969522C"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(2)</w:t>
            </w:r>
          </w:p>
        </w:tc>
        <w:tc>
          <w:tcPr>
            <w:tcW w:w="0" w:type="auto"/>
            <w:tcBorders>
              <w:top w:val="single" w:sz="4" w:space="0" w:color="auto"/>
              <w:left w:val="nil"/>
              <w:bottom w:val="single" w:sz="10" w:space="0" w:color="auto"/>
              <w:right w:val="nil"/>
            </w:tcBorders>
          </w:tcPr>
          <w:p w14:paraId="3882560D"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(3)</w:t>
            </w:r>
          </w:p>
        </w:tc>
        <w:tc>
          <w:tcPr>
            <w:tcW w:w="0" w:type="auto"/>
            <w:tcBorders>
              <w:top w:val="single" w:sz="4" w:space="0" w:color="auto"/>
              <w:left w:val="nil"/>
              <w:bottom w:val="single" w:sz="10" w:space="0" w:color="auto"/>
              <w:right w:val="nil"/>
            </w:tcBorders>
          </w:tcPr>
          <w:p w14:paraId="7B2BF20F"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(4)</w:t>
            </w:r>
          </w:p>
        </w:tc>
        <w:tc>
          <w:tcPr>
            <w:tcW w:w="0" w:type="auto"/>
            <w:tcBorders>
              <w:top w:val="single" w:sz="4" w:space="0" w:color="auto"/>
              <w:left w:val="nil"/>
              <w:bottom w:val="single" w:sz="10" w:space="0" w:color="auto"/>
              <w:right w:val="nil"/>
            </w:tcBorders>
          </w:tcPr>
          <w:p w14:paraId="5FF21246"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(5)</w:t>
            </w:r>
          </w:p>
        </w:tc>
        <w:tc>
          <w:tcPr>
            <w:tcW w:w="0" w:type="auto"/>
            <w:tcBorders>
              <w:top w:val="single" w:sz="4" w:space="0" w:color="auto"/>
              <w:left w:val="nil"/>
              <w:bottom w:val="single" w:sz="10" w:space="0" w:color="auto"/>
              <w:right w:val="nil"/>
            </w:tcBorders>
          </w:tcPr>
          <w:p w14:paraId="64B3E5C3"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(6)</w:t>
            </w:r>
          </w:p>
        </w:tc>
        <w:tc>
          <w:tcPr>
            <w:tcW w:w="0" w:type="auto"/>
            <w:tcBorders>
              <w:top w:val="single" w:sz="4" w:space="0" w:color="auto"/>
              <w:left w:val="nil"/>
              <w:bottom w:val="single" w:sz="10" w:space="0" w:color="auto"/>
              <w:right w:val="nil"/>
            </w:tcBorders>
          </w:tcPr>
          <w:p w14:paraId="64825DFA"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(7)</w:t>
            </w:r>
          </w:p>
        </w:tc>
        <w:tc>
          <w:tcPr>
            <w:tcW w:w="0" w:type="auto"/>
            <w:tcBorders>
              <w:top w:val="single" w:sz="4" w:space="0" w:color="auto"/>
              <w:left w:val="nil"/>
              <w:bottom w:val="single" w:sz="10" w:space="0" w:color="auto"/>
              <w:right w:val="nil"/>
            </w:tcBorders>
          </w:tcPr>
          <w:p w14:paraId="785C2E7C"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(8)</w:t>
            </w:r>
          </w:p>
        </w:tc>
      </w:tr>
      <w:tr w:rsidR="00094347" w:rsidRPr="001A08C7" w14:paraId="06222141" w14:textId="77777777" w:rsidTr="00094347">
        <w:trPr>
          <w:gridAfter w:val="7"/>
          <w:trHeight w:val="255"/>
        </w:trPr>
        <w:tc>
          <w:tcPr>
            <w:tcW w:w="0" w:type="auto"/>
            <w:tcBorders>
              <w:top w:val="nil"/>
              <w:left w:val="nil"/>
              <w:bottom w:val="nil"/>
              <w:right w:val="nil"/>
            </w:tcBorders>
          </w:tcPr>
          <w:p w14:paraId="07A4752C"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(1) VDI</w:t>
            </w:r>
          </w:p>
        </w:tc>
        <w:tc>
          <w:tcPr>
            <w:tcW w:w="0" w:type="auto"/>
            <w:tcBorders>
              <w:top w:val="nil"/>
              <w:left w:val="nil"/>
              <w:bottom w:val="nil"/>
              <w:right w:val="nil"/>
            </w:tcBorders>
          </w:tcPr>
          <w:p w14:paraId="4B2FDC45"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2D400BA8" w14:textId="77777777" w:rsidTr="00094347">
        <w:trPr>
          <w:gridAfter w:val="6"/>
          <w:trHeight w:val="270"/>
        </w:trPr>
        <w:tc>
          <w:tcPr>
            <w:tcW w:w="0" w:type="auto"/>
            <w:tcBorders>
              <w:top w:val="nil"/>
              <w:left w:val="nil"/>
              <w:bottom w:val="nil"/>
              <w:right w:val="nil"/>
            </w:tcBorders>
          </w:tcPr>
          <w:p w14:paraId="66627A73"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(2) BSIZE</w:t>
            </w:r>
          </w:p>
        </w:tc>
        <w:tc>
          <w:tcPr>
            <w:tcW w:w="0" w:type="auto"/>
            <w:tcBorders>
              <w:top w:val="nil"/>
              <w:left w:val="nil"/>
              <w:bottom w:val="nil"/>
              <w:right w:val="nil"/>
            </w:tcBorders>
          </w:tcPr>
          <w:p w14:paraId="6B0084B0"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0.080</w:t>
            </w:r>
          </w:p>
        </w:tc>
        <w:tc>
          <w:tcPr>
            <w:tcW w:w="0" w:type="auto"/>
            <w:tcBorders>
              <w:top w:val="nil"/>
              <w:left w:val="nil"/>
              <w:bottom w:val="nil"/>
              <w:right w:val="nil"/>
            </w:tcBorders>
          </w:tcPr>
          <w:p w14:paraId="0DEF37E5"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32810B58" w14:textId="77777777" w:rsidTr="00094347">
        <w:trPr>
          <w:gridAfter w:val="5"/>
          <w:trHeight w:val="255"/>
        </w:trPr>
        <w:tc>
          <w:tcPr>
            <w:tcW w:w="0" w:type="auto"/>
            <w:tcBorders>
              <w:top w:val="nil"/>
              <w:left w:val="nil"/>
              <w:bottom w:val="nil"/>
              <w:right w:val="nil"/>
            </w:tcBorders>
          </w:tcPr>
          <w:p w14:paraId="0D0C001B"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(3) BIND</w:t>
            </w:r>
          </w:p>
        </w:tc>
        <w:tc>
          <w:tcPr>
            <w:tcW w:w="0" w:type="auto"/>
            <w:tcBorders>
              <w:top w:val="nil"/>
              <w:left w:val="nil"/>
              <w:bottom w:val="nil"/>
              <w:right w:val="nil"/>
            </w:tcBorders>
          </w:tcPr>
          <w:p w14:paraId="206CB7A5"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0.206</w:t>
            </w:r>
          </w:p>
        </w:tc>
        <w:tc>
          <w:tcPr>
            <w:tcW w:w="0" w:type="auto"/>
            <w:tcBorders>
              <w:top w:val="nil"/>
              <w:left w:val="nil"/>
              <w:bottom w:val="nil"/>
              <w:right w:val="nil"/>
            </w:tcBorders>
          </w:tcPr>
          <w:p w14:paraId="05CDF263"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0.069</w:t>
            </w:r>
          </w:p>
        </w:tc>
        <w:tc>
          <w:tcPr>
            <w:tcW w:w="0" w:type="auto"/>
            <w:tcBorders>
              <w:top w:val="nil"/>
              <w:left w:val="nil"/>
              <w:bottom w:val="nil"/>
              <w:right w:val="nil"/>
            </w:tcBorders>
          </w:tcPr>
          <w:p w14:paraId="48D87158"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296104DF" w14:textId="77777777" w:rsidTr="00094347">
        <w:trPr>
          <w:gridAfter w:val="4"/>
          <w:trHeight w:val="255"/>
        </w:trPr>
        <w:tc>
          <w:tcPr>
            <w:tcW w:w="0" w:type="auto"/>
            <w:tcBorders>
              <w:top w:val="nil"/>
              <w:left w:val="nil"/>
              <w:bottom w:val="nil"/>
              <w:right w:val="nil"/>
            </w:tcBorders>
          </w:tcPr>
          <w:p w14:paraId="1B9D08A9"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(4) BGED</w:t>
            </w:r>
          </w:p>
        </w:tc>
        <w:tc>
          <w:tcPr>
            <w:tcW w:w="0" w:type="auto"/>
            <w:tcBorders>
              <w:top w:val="nil"/>
              <w:left w:val="nil"/>
              <w:bottom w:val="nil"/>
              <w:right w:val="nil"/>
            </w:tcBorders>
          </w:tcPr>
          <w:p w14:paraId="7261FF21"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0.006</w:t>
            </w:r>
          </w:p>
        </w:tc>
        <w:tc>
          <w:tcPr>
            <w:tcW w:w="0" w:type="auto"/>
            <w:tcBorders>
              <w:top w:val="nil"/>
              <w:left w:val="nil"/>
              <w:bottom w:val="nil"/>
              <w:right w:val="nil"/>
            </w:tcBorders>
          </w:tcPr>
          <w:p w14:paraId="3485769F"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-0.217</w:t>
            </w:r>
          </w:p>
        </w:tc>
        <w:tc>
          <w:tcPr>
            <w:tcW w:w="0" w:type="auto"/>
            <w:tcBorders>
              <w:top w:val="nil"/>
              <w:left w:val="nil"/>
              <w:bottom w:val="nil"/>
              <w:right w:val="nil"/>
            </w:tcBorders>
          </w:tcPr>
          <w:p w14:paraId="7F247F4F"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-0.061</w:t>
            </w:r>
          </w:p>
        </w:tc>
        <w:tc>
          <w:tcPr>
            <w:tcW w:w="0" w:type="auto"/>
            <w:tcBorders>
              <w:top w:val="nil"/>
              <w:left w:val="nil"/>
              <w:bottom w:val="nil"/>
              <w:right w:val="nil"/>
            </w:tcBorders>
          </w:tcPr>
          <w:p w14:paraId="3634F9D4"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10484AC1" w14:textId="77777777" w:rsidTr="00094347">
        <w:trPr>
          <w:gridAfter w:val="3"/>
          <w:trHeight w:val="255"/>
        </w:trPr>
        <w:tc>
          <w:tcPr>
            <w:tcW w:w="0" w:type="auto"/>
            <w:tcBorders>
              <w:top w:val="nil"/>
              <w:left w:val="nil"/>
              <w:bottom w:val="nil"/>
              <w:right w:val="nil"/>
            </w:tcBorders>
          </w:tcPr>
          <w:p w14:paraId="0A04A419"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(5) FSIZE</w:t>
            </w:r>
          </w:p>
        </w:tc>
        <w:tc>
          <w:tcPr>
            <w:tcW w:w="0" w:type="auto"/>
            <w:tcBorders>
              <w:top w:val="nil"/>
              <w:left w:val="nil"/>
              <w:bottom w:val="nil"/>
              <w:right w:val="nil"/>
            </w:tcBorders>
          </w:tcPr>
          <w:p w14:paraId="6F1818B0"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0.570</w:t>
            </w:r>
          </w:p>
        </w:tc>
        <w:tc>
          <w:tcPr>
            <w:tcW w:w="0" w:type="auto"/>
            <w:tcBorders>
              <w:top w:val="nil"/>
              <w:left w:val="nil"/>
              <w:bottom w:val="nil"/>
              <w:right w:val="nil"/>
            </w:tcBorders>
          </w:tcPr>
          <w:p w14:paraId="0A780E54"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0.459</w:t>
            </w:r>
          </w:p>
        </w:tc>
        <w:tc>
          <w:tcPr>
            <w:tcW w:w="0" w:type="auto"/>
            <w:tcBorders>
              <w:top w:val="nil"/>
              <w:left w:val="nil"/>
              <w:bottom w:val="nil"/>
              <w:right w:val="nil"/>
            </w:tcBorders>
          </w:tcPr>
          <w:p w14:paraId="3ACA5FB1"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0.205</w:t>
            </w:r>
          </w:p>
        </w:tc>
        <w:tc>
          <w:tcPr>
            <w:tcW w:w="0" w:type="auto"/>
            <w:tcBorders>
              <w:top w:val="nil"/>
              <w:left w:val="nil"/>
              <w:bottom w:val="nil"/>
              <w:right w:val="nil"/>
            </w:tcBorders>
          </w:tcPr>
          <w:p w14:paraId="00C5E577"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-0.190</w:t>
            </w:r>
          </w:p>
        </w:tc>
        <w:tc>
          <w:tcPr>
            <w:tcW w:w="0" w:type="auto"/>
            <w:tcBorders>
              <w:top w:val="nil"/>
              <w:left w:val="nil"/>
              <w:bottom w:val="nil"/>
              <w:right w:val="nil"/>
            </w:tcBorders>
          </w:tcPr>
          <w:p w14:paraId="4300C9BE"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395EC12E" w14:textId="77777777" w:rsidTr="00094347">
        <w:trPr>
          <w:gridAfter w:val="2"/>
          <w:trHeight w:val="270"/>
        </w:trPr>
        <w:tc>
          <w:tcPr>
            <w:tcW w:w="0" w:type="auto"/>
            <w:tcBorders>
              <w:top w:val="nil"/>
              <w:left w:val="nil"/>
              <w:bottom w:val="nil"/>
              <w:right w:val="nil"/>
            </w:tcBorders>
          </w:tcPr>
          <w:p w14:paraId="40688D0E"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(6) FAGE</w:t>
            </w:r>
          </w:p>
        </w:tc>
        <w:tc>
          <w:tcPr>
            <w:tcW w:w="0" w:type="auto"/>
            <w:tcBorders>
              <w:top w:val="nil"/>
              <w:left w:val="nil"/>
              <w:bottom w:val="nil"/>
              <w:right w:val="nil"/>
            </w:tcBorders>
          </w:tcPr>
          <w:p w14:paraId="05F81BBF"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0.001</w:t>
            </w:r>
          </w:p>
        </w:tc>
        <w:tc>
          <w:tcPr>
            <w:tcW w:w="0" w:type="auto"/>
            <w:tcBorders>
              <w:top w:val="nil"/>
              <w:left w:val="nil"/>
              <w:bottom w:val="nil"/>
              <w:right w:val="nil"/>
            </w:tcBorders>
          </w:tcPr>
          <w:p w14:paraId="1A4D10B5"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-0.010</w:t>
            </w:r>
          </w:p>
        </w:tc>
        <w:tc>
          <w:tcPr>
            <w:tcW w:w="0" w:type="auto"/>
            <w:tcBorders>
              <w:top w:val="nil"/>
              <w:left w:val="nil"/>
              <w:bottom w:val="nil"/>
              <w:right w:val="nil"/>
            </w:tcBorders>
          </w:tcPr>
          <w:p w14:paraId="1986AA93"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-0.059</w:t>
            </w:r>
          </w:p>
        </w:tc>
        <w:tc>
          <w:tcPr>
            <w:tcW w:w="0" w:type="auto"/>
            <w:tcBorders>
              <w:top w:val="nil"/>
              <w:left w:val="nil"/>
              <w:bottom w:val="nil"/>
              <w:right w:val="nil"/>
            </w:tcBorders>
          </w:tcPr>
          <w:p w14:paraId="5E4A936E"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0.095</w:t>
            </w:r>
          </w:p>
        </w:tc>
        <w:tc>
          <w:tcPr>
            <w:tcW w:w="0" w:type="auto"/>
            <w:tcBorders>
              <w:top w:val="nil"/>
              <w:left w:val="nil"/>
              <w:bottom w:val="nil"/>
              <w:right w:val="nil"/>
            </w:tcBorders>
          </w:tcPr>
          <w:p w14:paraId="6E06CE7B"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-0.024</w:t>
            </w:r>
          </w:p>
        </w:tc>
        <w:tc>
          <w:tcPr>
            <w:tcW w:w="0" w:type="auto"/>
            <w:tcBorders>
              <w:top w:val="nil"/>
              <w:left w:val="nil"/>
              <w:bottom w:val="nil"/>
              <w:right w:val="nil"/>
            </w:tcBorders>
          </w:tcPr>
          <w:p w14:paraId="162C37A0"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25D32FF5" w14:textId="77777777" w:rsidTr="00094347">
        <w:trPr>
          <w:gridAfter w:val="1"/>
          <w:trHeight w:val="255"/>
        </w:trPr>
        <w:tc>
          <w:tcPr>
            <w:tcW w:w="0" w:type="auto"/>
            <w:tcBorders>
              <w:top w:val="nil"/>
              <w:left w:val="nil"/>
              <w:bottom w:val="nil"/>
              <w:right w:val="nil"/>
            </w:tcBorders>
          </w:tcPr>
          <w:p w14:paraId="0325C334"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(7) FLEV</w:t>
            </w:r>
          </w:p>
        </w:tc>
        <w:tc>
          <w:tcPr>
            <w:tcW w:w="0" w:type="auto"/>
            <w:tcBorders>
              <w:top w:val="nil"/>
              <w:left w:val="nil"/>
              <w:bottom w:val="nil"/>
              <w:right w:val="nil"/>
            </w:tcBorders>
          </w:tcPr>
          <w:p w14:paraId="5ABE4BED"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0.297</w:t>
            </w:r>
          </w:p>
        </w:tc>
        <w:tc>
          <w:tcPr>
            <w:tcW w:w="0" w:type="auto"/>
            <w:tcBorders>
              <w:top w:val="nil"/>
              <w:left w:val="nil"/>
              <w:bottom w:val="nil"/>
              <w:right w:val="nil"/>
            </w:tcBorders>
          </w:tcPr>
          <w:p w14:paraId="5173991E"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0.218</w:t>
            </w:r>
          </w:p>
        </w:tc>
        <w:tc>
          <w:tcPr>
            <w:tcW w:w="0" w:type="auto"/>
            <w:tcBorders>
              <w:top w:val="nil"/>
              <w:left w:val="nil"/>
              <w:bottom w:val="nil"/>
              <w:right w:val="nil"/>
            </w:tcBorders>
          </w:tcPr>
          <w:p w14:paraId="5AC5F275"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-0.009</w:t>
            </w:r>
          </w:p>
        </w:tc>
        <w:tc>
          <w:tcPr>
            <w:tcW w:w="0" w:type="auto"/>
            <w:tcBorders>
              <w:top w:val="nil"/>
              <w:left w:val="nil"/>
              <w:bottom w:val="nil"/>
              <w:right w:val="nil"/>
            </w:tcBorders>
          </w:tcPr>
          <w:p w14:paraId="76F3552E"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0.015</w:t>
            </w:r>
          </w:p>
        </w:tc>
        <w:tc>
          <w:tcPr>
            <w:tcW w:w="0" w:type="auto"/>
            <w:tcBorders>
              <w:top w:val="nil"/>
              <w:left w:val="nil"/>
              <w:bottom w:val="nil"/>
              <w:right w:val="nil"/>
            </w:tcBorders>
          </w:tcPr>
          <w:p w14:paraId="7017CE61"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0.494</w:t>
            </w:r>
          </w:p>
        </w:tc>
        <w:tc>
          <w:tcPr>
            <w:tcW w:w="0" w:type="auto"/>
            <w:tcBorders>
              <w:top w:val="nil"/>
              <w:left w:val="nil"/>
              <w:bottom w:val="nil"/>
              <w:right w:val="nil"/>
            </w:tcBorders>
          </w:tcPr>
          <w:p w14:paraId="5C554510"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-0.204</w:t>
            </w:r>
          </w:p>
        </w:tc>
        <w:tc>
          <w:tcPr>
            <w:tcW w:w="0" w:type="auto"/>
            <w:tcBorders>
              <w:top w:val="nil"/>
              <w:left w:val="nil"/>
              <w:bottom w:val="nil"/>
              <w:right w:val="nil"/>
            </w:tcBorders>
          </w:tcPr>
          <w:p w14:paraId="4E477152"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2975C1F8" w14:textId="77777777" w:rsidTr="00094347">
        <w:trPr>
          <w:trHeight w:val="255"/>
        </w:trPr>
        <w:tc>
          <w:tcPr>
            <w:tcW w:w="0" w:type="auto"/>
            <w:tcBorders>
              <w:top w:val="nil"/>
              <w:left w:val="nil"/>
              <w:bottom w:val="nil"/>
              <w:right w:val="nil"/>
            </w:tcBorders>
          </w:tcPr>
          <w:p w14:paraId="31E38353"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 xml:space="preserve"> (8) FPROF</w:t>
            </w:r>
          </w:p>
        </w:tc>
        <w:tc>
          <w:tcPr>
            <w:tcW w:w="0" w:type="auto"/>
            <w:tcBorders>
              <w:top w:val="nil"/>
              <w:left w:val="nil"/>
              <w:bottom w:val="nil"/>
              <w:right w:val="nil"/>
            </w:tcBorders>
          </w:tcPr>
          <w:p w14:paraId="0031DF46"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0.170</w:t>
            </w:r>
          </w:p>
        </w:tc>
        <w:tc>
          <w:tcPr>
            <w:tcW w:w="0" w:type="auto"/>
            <w:tcBorders>
              <w:top w:val="nil"/>
              <w:left w:val="nil"/>
              <w:bottom w:val="nil"/>
              <w:right w:val="nil"/>
            </w:tcBorders>
          </w:tcPr>
          <w:p w14:paraId="144F24EC"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-0.067</w:t>
            </w:r>
          </w:p>
        </w:tc>
        <w:tc>
          <w:tcPr>
            <w:tcW w:w="0" w:type="auto"/>
            <w:tcBorders>
              <w:top w:val="nil"/>
              <w:left w:val="nil"/>
              <w:bottom w:val="nil"/>
              <w:right w:val="nil"/>
            </w:tcBorders>
          </w:tcPr>
          <w:p w14:paraId="3B4836D2"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0.066</w:t>
            </w:r>
          </w:p>
        </w:tc>
        <w:tc>
          <w:tcPr>
            <w:tcW w:w="0" w:type="auto"/>
            <w:tcBorders>
              <w:top w:val="nil"/>
              <w:left w:val="nil"/>
              <w:bottom w:val="nil"/>
              <w:right w:val="nil"/>
            </w:tcBorders>
          </w:tcPr>
          <w:p w14:paraId="5C6BEA43"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0.183</w:t>
            </w:r>
          </w:p>
        </w:tc>
        <w:tc>
          <w:tcPr>
            <w:tcW w:w="0" w:type="auto"/>
            <w:tcBorders>
              <w:top w:val="nil"/>
              <w:left w:val="nil"/>
              <w:bottom w:val="nil"/>
              <w:right w:val="nil"/>
            </w:tcBorders>
          </w:tcPr>
          <w:p w14:paraId="330705CD"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0.123</w:t>
            </w:r>
          </w:p>
        </w:tc>
        <w:tc>
          <w:tcPr>
            <w:tcW w:w="0" w:type="auto"/>
            <w:tcBorders>
              <w:top w:val="nil"/>
              <w:left w:val="nil"/>
              <w:bottom w:val="nil"/>
              <w:right w:val="nil"/>
            </w:tcBorders>
          </w:tcPr>
          <w:p w14:paraId="2F764DCF"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0.247</w:t>
            </w:r>
          </w:p>
        </w:tc>
        <w:tc>
          <w:tcPr>
            <w:tcW w:w="0" w:type="auto"/>
            <w:tcBorders>
              <w:top w:val="nil"/>
              <w:left w:val="nil"/>
              <w:bottom w:val="nil"/>
              <w:right w:val="nil"/>
            </w:tcBorders>
          </w:tcPr>
          <w:p w14:paraId="6893CAD9"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-0.191</w:t>
            </w:r>
          </w:p>
        </w:tc>
        <w:tc>
          <w:tcPr>
            <w:tcW w:w="0" w:type="auto"/>
            <w:tcBorders>
              <w:top w:val="nil"/>
              <w:left w:val="nil"/>
              <w:bottom w:val="nil"/>
              <w:right w:val="nil"/>
            </w:tcBorders>
          </w:tcPr>
          <w:p w14:paraId="08D9E012" w14:textId="77777777" w:rsidR="00094347" w:rsidRPr="001A08C7" w:rsidRDefault="00094347" w:rsidP="00094347">
            <w:pPr>
              <w:widowControl w:val="0"/>
              <w:autoSpaceDE w:val="0"/>
              <w:autoSpaceDN w:val="0"/>
              <w:bidi w:val="0"/>
              <w:adjustRightInd w:val="0"/>
              <w:spacing w:after="0" w:line="240" w:lineRule="auto"/>
              <w:jc w:val="right"/>
              <w:rPr>
                <w:rFonts w:ascii="Times New Roman" w:eastAsia="Times New Roman" w:hAnsi="Times New Roman" w:cs="Times New Roman"/>
                <w:sz w:val="18"/>
                <w:szCs w:val="18"/>
                <w:lang w:eastAsia="en-GB"/>
              </w:rPr>
            </w:pPr>
            <w:r w:rsidRPr="001A08C7">
              <w:rPr>
                <w:rFonts w:ascii="Times New Roman" w:eastAsia="Times New Roman" w:hAnsi="Times New Roman" w:cs="Times New Roman"/>
                <w:sz w:val="18"/>
                <w:szCs w:val="18"/>
                <w:lang w:eastAsia="en-GB"/>
              </w:rPr>
              <w:t>1.000</w:t>
            </w:r>
          </w:p>
        </w:tc>
      </w:tr>
      <w:tr w:rsidR="00094347" w:rsidRPr="001A08C7" w14:paraId="649FA3EB" w14:textId="77777777" w:rsidTr="00094347">
        <w:trPr>
          <w:trHeight w:val="270"/>
        </w:trPr>
        <w:tc>
          <w:tcPr>
            <w:tcW w:w="0" w:type="auto"/>
            <w:gridSpan w:val="9"/>
            <w:tcBorders>
              <w:top w:val="single" w:sz="6" w:space="0" w:color="auto"/>
              <w:left w:val="nil"/>
              <w:bottom w:val="nil"/>
              <w:right w:val="nil"/>
            </w:tcBorders>
          </w:tcPr>
          <w:p w14:paraId="259F201C" w14:textId="77777777" w:rsidR="00094347" w:rsidRPr="001A08C7" w:rsidRDefault="00094347" w:rsidP="00094347">
            <w:pPr>
              <w:widowControl w:val="0"/>
              <w:autoSpaceDE w:val="0"/>
              <w:autoSpaceDN w:val="0"/>
              <w:bidi w:val="0"/>
              <w:adjustRightInd w:val="0"/>
              <w:spacing w:after="0" w:line="240" w:lineRule="auto"/>
              <w:rPr>
                <w:rFonts w:ascii="Times New Roman" w:eastAsia="Times New Roman" w:hAnsi="Times New Roman" w:cs="Times New Roman"/>
                <w:sz w:val="18"/>
                <w:szCs w:val="18"/>
                <w:lang w:eastAsia="en-GB"/>
              </w:rPr>
            </w:pPr>
          </w:p>
        </w:tc>
      </w:tr>
    </w:tbl>
    <w:p w14:paraId="67AA50C6" w14:textId="054E5038" w:rsidR="00094347" w:rsidRDefault="00094347" w:rsidP="00094347">
      <w:pPr>
        <w:bidi w:val="0"/>
        <w:spacing w:after="0" w:line="240" w:lineRule="auto"/>
        <w:jc w:val="both"/>
        <w:rPr>
          <w:rFonts w:ascii="Times New Roman" w:hAnsi="Times New Roman" w:cs="Times New Roman"/>
          <w:bCs/>
          <w:color w:val="000000"/>
          <w:sz w:val="18"/>
          <w:szCs w:val="18"/>
        </w:rPr>
      </w:pPr>
      <w:r w:rsidRPr="00094347">
        <w:rPr>
          <w:rFonts w:ascii="Times New Roman" w:hAnsi="Times New Roman" w:cs="Times New Roman"/>
          <w:bCs/>
          <w:color w:val="000000"/>
          <w:sz w:val="18"/>
          <w:szCs w:val="18"/>
        </w:rPr>
        <w:t xml:space="preserve">Lastly, the </w:t>
      </w:r>
      <w:proofErr w:type="spellStart"/>
      <w:r w:rsidRPr="00094347">
        <w:rPr>
          <w:rFonts w:ascii="Times New Roman" w:hAnsi="Times New Roman" w:cs="Times New Roman"/>
          <w:bCs/>
          <w:color w:val="000000"/>
          <w:sz w:val="18"/>
          <w:szCs w:val="18"/>
        </w:rPr>
        <w:t>Breusch</w:t>
      </w:r>
      <w:proofErr w:type="spellEnd"/>
      <w:r w:rsidRPr="00094347">
        <w:rPr>
          <w:rFonts w:ascii="Times New Roman" w:hAnsi="Times New Roman" w:cs="Times New Roman"/>
          <w:bCs/>
          <w:color w:val="000000"/>
          <w:sz w:val="18"/>
          <w:szCs w:val="18"/>
        </w:rPr>
        <w:t xml:space="preserve">-Pagan / Cook-Weisberg test was utilized to assess the assumption of constant variance in the model and detect heteroscedasticity. The chi-square statistic yielded a value of </w:t>
      </w:r>
      <w:r w:rsidR="00610134">
        <w:rPr>
          <w:rFonts w:ascii="Times New Roman" w:hAnsi="Times New Roman" w:cs="Times New Roman"/>
          <w:bCs/>
          <w:color w:val="000000"/>
          <w:sz w:val="18"/>
          <w:szCs w:val="18"/>
        </w:rPr>
        <w:t>1</w:t>
      </w:r>
      <w:r w:rsidRPr="00094347">
        <w:rPr>
          <w:rFonts w:ascii="Times New Roman" w:hAnsi="Times New Roman" w:cs="Times New Roman"/>
          <w:bCs/>
          <w:color w:val="000000"/>
          <w:sz w:val="18"/>
          <w:szCs w:val="18"/>
        </w:rPr>
        <w:t>.</w:t>
      </w:r>
      <w:r w:rsidR="00610134">
        <w:rPr>
          <w:rFonts w:ascii="Times New Roman" w:hAnsi="Times New Roman" w:cs="Times New Roman"/>
          <w:bCs/>
          <w:color w:val="000000"/>
          <w:sz w:val="18"/>
          <w:szCs w:val="18"/>
        </w:rPr>
        <w:t>89</w:t>
      </w:r>
      <w:r w:rsidR="00B45FA3">
        <w:rPr>
          <w:rFonts w:ascii="Times New Roman" w:hAnsi="Times New Roman" w:cs="Times New Roman"/>
          <w:bCs/>
          <w:color w:val="000000"/>
          <w:sz w:val="18"/>
          <w:szCs w:val="18"/>
        </w:rPr>
        <w:t>;</w:t>
      </w:r>
      <w:r w:rsidRPr="00094347">
        <w:rPr>
          <w:rFonts w:ascii="Times New Roman" w:hAnsi="Times New Roman" w:cs="Times New Roman"/>
          <w:bCs/>
          <w:color w:val="000000"/>
          <w:sz w:val="18"/>
          <w:szCs w:val="18"/>
        </w:rPr>
        <w:t xml:space="preserve"> the corresponding p-value was 0.</w:t>
      </w:r>
      <w:r w:rsidR="00610134">
        <w:rPr>
          <w:rFonts w:ascii="Times New Roman" w:hAnsi="Times New Roman" w:cs="Times New Roman"/>
          <w:bCs/>
          <w:color w:val="000000"/>
          <w:sz w:val="18"/>
          <w:szCs w:val="18"/>
        </w:rPr>
        <w:t>169</w:t>
      </w:r>
      <w:r w:rsidRPr="00094347">
        <w:rPr>
          <w:rFonts w:ascii="Times New Roman" w:hAnsi="Times New Roman" w:cs="Times New Roman"/>
          <w:bCs/>
          <w:color w:val="000000"/>
          <w:sz w:val="18"/>
          <w:szCs w:val="18"/>
        </w:rPr>
        <w:t xml:space="preserve"> (refer to Table 5). These results suggest no significant evidence to reject the null hypothesis of constant variance, indicating no presence of </w:t>
      </w:r>
      <w:proofErr w:type="spellStart"/>
      <w:r w:rsidRPr="00094347">
        <w:rPr>
          <w:rFonts w:ascii="Times New Roman" w:hAnsi="Times New Roman" w:cs="Times New Roman"/>
          <w:bCs/>
          <w:color w:val="000000"/>
          <w:sz w:val="18"/>
          <w:szCs w:val="18"/>
        </w:rPr>
        <w:t>heteroskedasticity</w:t>
      </w:r>
      <w:proofErr w:type="spellEnd"/>
      <w:r w:rsidRPr="00094347">
        <w:rPr>
          <w:rFonts w:ascii="Times New Roman" w:hAnsi="Times New Roman" w:cs="Times New Roman"/>
          <w:bCs/>
          <w:color w:val="000000"/>
          <w:sz w:val="18"/>
          <w:szCs w:val="18"/>
        </w:rPr>
        <w:t>.</w:t>
      </w:r>
    </w:p>
    <w:p w14:paraId="65836A19" w14:textId="77777777" w:rsidR="00094347" w:rsidRPr="00094347" w:rsidRDefault="00094347" w:rsidP="00094347">
      <w:pPr>
        <w:bidi w:val="0"/>
        <w:spacing w:after="0" w:line="240" w:lineRule="auto"/>
        <w:jc w:val="both"/>
        <w:rPr>
          <w:rFonts w:ascii="Times New Roman" w:hAnsi="Times New Roman" w:cs="Times New Roman"/>
          <w:bCs/>
          <w:color w:val="000000"/>
          <w:sz w:val="18"/>
          <w:szCs w:val="18"/>
        </w:rPr>
      </w:pPr>
    </w:p>
    <w:p w14:paraId="77F701FB" w14:textId="0173D35B" w:rsidR="00094347" w:rsidRPr="00094347" w:rsidRDefault="00094347" w:rsidP="00094347">
      <w:pPr>
        <w:keepNext/>
        <w:numPr>
          <w:ilvl w:val="1"/>
          <w:numId w:val="0"/>
        </w:numPr>
        <w:bidi w:val="0"/>
        <w:spacing w:after="0" w:line="240" w:lineRule="auto"/>
        <w:ind w:left="567" w:hanging="567"/>
        <w:jc w:val="center"/>
        <w:outlineLvl w:val="1"/>
        <w:rPr>
          <w:rFonts w:ascii="Times New Roman" w:hAnsi="Times New Roman" w:cs="Times New Roman"/>
          <w:b/>
          <w:color w:val="000000"/>
          <w:sz w:val="18"/>
          <w:szCs w:val="18"/>
          <w:lang w:val="en-GB"/>
        </w:rPr>
      </w:pPr>
      <w:r w:rsidRPr="00094347">
        <w:rPr>
          <w:rFonts w:ascii="Times New Roman" w:hAnsi="Times New Roman" w:cs="Times New Roman"/>
          <w:b/>
          <w:color w:val="000000"/>
          <w:sz w:val="18"/>
          <w:szCs w:val="18"/>
          <w:lang w:val="en-GB"/>
        </w:rPr>
        <w:t xml:space="preserve">Table 5. </w:t>
      </w:r>
      <w:proofErr w:type="spellStart"/>
      <w:r w:rsidRPr="00094347">
        <w:rPr>
          <w:rFonts w:ascii="Times New Roman" w:hAnsi="Times New Roman" w:cs="Times New Roman"/>
          <w:b/>
          <w:color w:val="000000"/>
          <w:sz w:val="18"/>
          <w:szCs w:val="18"/>
        </w:rPr>
        <w:t>Breusch</w:t>
      </w:r>
      <w:proofErr w:type="spellEnd"/>
      <w:r w:rsidRPr="00094347">
        <w:rPr>
          <w:rFonts w:ascii="Times New Roman" w:hAnsi="Times New Roman" w:cs="Times New Roman"/>
          <w:b/>
          <w:color w:val="000000"/>
          <w:sz w:val="18"/>
          <w:szCs w:val="18"/>
        </w:rPr>
        <w:t xml:space="preserve">-Pagan / Cook-Weisberg test for </w:t>
      </w:r>
      <w:proofErr w:type="spellStart"/>
      <w:r w:rsidRPr="00094347">
        <w:rPr>
          <w:rFonts w:ascii="Times New Roman" w:hAnsi="Times New Roman" w:cs="Times New Roman"/>
          <w:b/>
          <w:color w:val="000000"/>
          <w:sz w:val="18"/>
          <w:szCs w:val="18"/>
        </w:rPr>
        <w:t>heteroskedasticity</w:t>
      </w:r>
      <w:proofErr w:type="spellEnd"/>
    </w:p>
    <w:tbl>
      <w:tblPr>
        <w:tblStyle w:val="TableGrid"/>
        <w:tblpPr w:leftFromText="180" w:rightFromText="180" w:vertAnchor="text" w:horzAnchor="margin" w:tblpXSpec="center" w:tblpY="28"/>
        <w:tblW w:w="0" w:type="auto"/>
        <w:tblLook w:val="04A0" w:firstRow="1" w:lastRow="0" w:firstColumn="1" w:lastColumn="0" w:noHBand="0" w:noVBand="1"/>
      </w:tblPr>
      <w:tblGrid>
        <w:gridCol w:w="7045"/>
      </w:tblGrid>
      <w:tr w:rsidR="00094347" w14:paraId="7EEF66F5" w14:textId="77777777" w:rsidTr="00094347">
        <w:trPr>
          <w:trHeight w:val="843"/>
        </w:trPr>
        <w:tc>
          <w:tcPr>
            <w:tcW w:w="7045" w:type="dxa"/>
          </w:tcPr>
          <w:p w14:paraId="7382E09A" w14:textId="77777777" w:rsidR="00094347" w:rsidRDefault="00094347" w:rsidP="00094347">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Variables: fitted values of </w:t>
            </w:r>
            <w:proofErr w:type="spellStart"/>
            <w:r>
              <w:rPr>
                <w:rFonts w:ascii="Times New Roman" w:hAnsi="Times New Roman" w:cs="Times New Roman"/>
                <w:sz w:val="20"/>
                <w:szCs w:val="20"/>
              </w:rPr>
              <w:t>VoluntaryD</w:t>
            </w:r>
            <w:proofErr w:type="spellEnd"/>
            <w:r>
              <w:rPr>
                <w:rFonts w:ascii="Times New Roman" w:hAnsi="Times New Roman" w:cs="Times New Roman"/>
                <w:sz w:val="20"/>
                <w:szCs w:val="20"/>
              </w:rPr>
              <w:br/>
              <w:t xml:space="preserve">         chi2(1)      =     1.89</w:t>
            </w:r>
            <w:r>
              <w:rPr>
                <w:rFonts w:ascii="Times New Roman" w:hAnsi="Times New Roman" w:cs="Times New Roman"/>
                <w:sz w:val="20"/>
                <w:szCs w:val="20"/>
              </w:rPr>
              <w:br/>
              <w:t xml:space="preserve">         </w:t>
            </w:r>
            <w:proofErr w:type="spellStart"/>
            <w:r>
              <w:rPr>
                <w:rFonts w:ascii="Times New Roman" w:hAnsi="Times New Roman" w:cs="Times New Roman"/>
                <w:sz w:val="20"/>
                <w:szCs w:val="20"/>
              </w:rPr>
              <w:t>Prob</w:t>
            </w:r>
            <w:proofErr w:type="spellEnd"/>
            <w:r>
              <w:rPr>
                <w:rFonts w:ascii="Times New Roman" w:hAnsi="Times New Roman" w:cs="Times New Roman"/>
                <w:sz w:val="20"/>
                <w:szCs w:val="20"/>
              </w:rPr>
              <w:t xml:space="preserve"> &gt; chi2  =   0.1690</w:t>
            </w:r>
            <w:r>
              <w:rPr>
                <w:rFonts w:ascii="Times New Roman" w:hAnsi="Times New Roman" w:cs="Times New Roman"/>
                <w:sz w:val="20"/>
                <w:szCs w:val="20"/>
              </w:rPr>
              <w:br/>
            </w:r>
            <w:r>
              <w:rPr>
                <w:rFonts w:ascii="Times New Roman" w:hAnsi="Times New Roman" w:cs="Times New Roman"/>
                <w:b/>
                <w:bCs/>
                <w:sz w:val="20"/>
                <w:szCs w:val="20"/>
              </w:rPr>
              <w:br/>
            </w:r>
          </w:p>
        </w:tc>
      </w:tr>
    </w:tbl>
    <w:p w14:paraId="18B9260A" w14:textId="69662DE2" w:rsidR="00094347" w:rsidRDefault="00094347" w:rsidP="00094347">
      <w:pPr>
        <w:keepNext/>
        <w:numPr>
          <w:ilvl w:val="1"/>
          <w:numId w:val="0"/>
        </w:numPr>
        <w:bidi w:val="0"/>
        <w:spacing w:after="0" w:line="240" w:lineRule="auto"/>
        <w:ind w:left="567" w:hanging="567"/>
        <w:jc w:val="both"/>
        <w:outlineLvl w:val="1"/>
        <w:rPr>
          <w:rFonts w:ascii="Times New Roman" w:hAnsi="Times New Roman" w:cs="Times New Roman"/>
          <w:bCs/>
          <w:color w:val="000000"/>
          <w:sz w:val="18"/>
          <w:szCs w:val="18"/>
          <w:lang w:val="en-GB"/>
        </w:rPr>
      </w:pPr>
    </w:p>
    <w:p w14:paraId="0FFB33DD" w14:textId="7D8A313F" w:rsidR="00094347" w:rsidRDefault="00094347" w:rsidP="00094347">
      <w:pPr>
        <w:keepNext/>
        <w:numPr>
          <w:ilvl w:val="1"/>
          <w:numId w:val="0"/>
        </w:numPr>
        <w:bidi w:val="0"/>
        <w:spacing w:after="0" w:line="240" w:lineRule="auto"/>
        <w:ind w:left="567" w:hanging="567"/>
        <w:jc w:val="both"/>
        <w:outlineLvl w:val="1"/>
        <w:rPr>
          <w:rFonts w:ascii="Times New Roman" w:hAnsi="Times New Roman" w:cs="Times New Roman"/>
          <w:bCs/>
          <w:color w:val="000000"/>
          <w:sz w:val="18"/>
          <w:szCs w:val="18"/>
          <w:lang w:val="en-GB"/>
        </w:rPr>
      </w:pPr>
    </w:p>
    <w:p w14:paraId="39903ADE" w14:textId="77777777" w:rsidR="00094347" w:rsidRPr="00094347" w:rsidRDefault="00094347" w:rsidP="00094347">
      <w:pPr>
        <w:keepNext/>
        <w:numPr>
          <w:ilvl w:val="1"/>
          <w:numId w:val="0"/>
        </w:numPr>
        <w:bidi w:val="0"/>
        <w:spacing w:after="0" w:line="240" w:lineRule="auto"/>
        <w:ind w:left="567" w:hanging="567"/>
        <w:jc w:val="both"/>
        <w:outlineLvl w:val="1"/>
        <w:rPr>
          <w:rFonts w:ascii="Times New Roman" w:hAnsi="Times New Roman" w:cs="Times New Roman"/>
          <w:bCs/>
          <w:color w:val="000000"/>
          <w:sz w:val="18"/>
          <w:szCs w:val="18"/>
          <w:lang w:val="en-GB"/>
        </w:rPr>
      </w:pPr>
    </w:p>
    <w:bookmarkEnd w:id="3"/>
    <w:p w14:paraId="0AF9365E" w14:textId="54A3952E" w:rsidR="00350F0B" w:rsidRDefault="00350F0B" w:rsidP="00350F0B">
      <w:pPr>
        <w:bidi w:val="0"/>
        <w:spacing w:after="0" w:line="240" w:lineRule="auto"/>
        <w:jc w:val="both"/>
        <w:rPr>
          <w:rFonts w:ascii="Times New Roman" w:hAnsi="Times New Roman" w:cs="Times New Roman"/>
          <w:bCs/>
          <w:color w:val="000000"/>
          <w:sz w:val="18"/>
          <w:szCs w:val="18"/>
        </w:rPr>
      </w:pPr>
    </w:p>
    <w:p w14:paraId="2A14D2EF" w14:textId="03F22040" w:rsidR="00094347" w:rsidRDefault="00094347" w:rsidP="00610134">
      <w:pPr>
        <w:keepNext/>
        <w:numPr>
          <w:ilvl w:val="1"/>
          <w:numId w:val="0"/>
        </w:numPr>
        <w:bidi w:val="0"/>
        <w:spacing w:after="0" w:line="240" w:lineRule="auto"/>
        <w:jc w:val="both"/>
        <w:outlineLvl w:val="1"/>
        <w:rPr>
          <w:rFonts w:ascii="Times New Roman" w:hAnsi="Times New Roman" w:cs="Times New Roman"/>
          <w:bCs/>
          <w:color w:val="000000"/>
          <w:sz w:val="18"/>
          <w:szCs w:val="18"/>
        </w:rPr>
      </w:pPr>
      <w:bookmarkStart w:id="4" w:name="_Hlk79925965"/>
    </w:p>
    <w:p w14:paraId="7ACBF849" w14:textId="77777777" w:rsidR="00610134" w:rsidRDefault="00610134" w:rsidP="00610134">
      <w:pPr>
        <w:keepNext/>
        <w:numPr>
          <w:ilvl w:val="1"/>
          <w:numId w:val="0"/>
        </w:numPr>
        <w:bidi w:val="0"/>
        <w:spacing w:after="0" w:line="240" w:lineRule="auto"/>
        <w:jc w:val="both"/>
        <w:outlineLvl w:val="1"/>
        <w:rPr>
          <w:rFonts w:ascii="Times New Roman" w:hAnsi="Times New Roman" w:cs="Times New Roman"/>
          <w:b/>
          <w:bCs/>
          <w:color w:val="000000"/>
          <w:sz w:val="18"/>
          <w:szCs w:val="18"/>
        </w:rPr>
      </w:pPr>
    </w:p>
    <w:p w14:paraId="32B79E7F" w14:textId="77777777" w:rsidR="00094347" w:rsidRDefault="00094347" w:rsidP="00094347">
      <w:pPr>
        <w:keepNext/>
        <w:numPr>
          <w:ilvl w:val="1"/>
          <w:numId w:val="0"/>
        </w:numPr>
        <w:bidi w:val="0"/>
        <w:spacing w:after="0" w:line="240" w:lineRule="auto"/>
        <w:ind w:left="567" w:hanging="567"/>
        <w:jc w:val="both"/>
        <w:outlineLvl w:val="1"/>
        <w:rPr>
          <w:rFonts w:ascii="Times New Roman" w:hAnsi="Times New Roman" w:cs="Times New Roman"/>
          <w:b/>
          <w:bCs/>
          <w:color w:val="000000"/>
          <w:sz w:val="18"/>
          <w:szCs w:val="18"/>
        </w:rPr>
      </w:pPr>
    </w:p>
    <w:p w14:paraId="4E0E02EC" w14:textId="193C4080" w:rsidR="001A08C7" w:rsidRPr="00EA4357" w:rsidRDefault="00610134" w:rsidP="00094347">
      <w:pPr>
        <w:keepNext/>
        <w:numPr>
          <w:ilvl w:val="1"/>
          <w:numId w:val="0"/>
        </w:numPr>
        <w:bidi w:val="0"/>
        <w:spacing w:after="0" w:line="240" w:lineRule="auto"/>
        <w:ind w:left="567" w:hanging="567"/>
        <w:jc w:val="both"/>
        <w:outlineLvl w:val="1"/>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4.3 </w:t>
      </w:r>
      <w:r w:rsidR="001A08C7" w:rsidRPr="00EA4357">
        <w:rPr>
          <w:rFonts w:ascii="Times New Roman" w:hAnsi="Times New Roman" w:cs="Times New Roman"/>
          <w:b/>
          <w:bCs/>
          <w:color w:val="000000"/>
          <w:sz w:val="18"/>
          <w:szCs w:val="18"/>
        </w:rPr>
        <w:t>Regression analysis</w:t>
      </w:r>
    </w:p>
    <w:bookmarkEnd w:id="4"/>
    <w:p w14:paraId="7F2026C1" w14:textId="10BC566C" w:rsidR="00B77271" w:rsidRPr="00094347" w:rsidRDefault="00350F0B" w:rsidP="00350F0B">
      <w:pPr>
        <w:bidi w:val="0"/>
        <w:spacing w:after="0" w:line="240" w:lineRule="auto"/>
        <w:jc w:val="center"/>
        <w:rPr>
          <w:rFonts w:ascii="Times New Roman" w:hAnsi="Times New Roman" w:cs="Times New Roman"/>
          <w:b/>
          <w:color w:val="000000"/>
          <w:sz w:val="18"/>
          <w:szCs w:val="18"/>
        </w:rPr>
      </w:pPr>
      <w:r w:rsidRPr="00094347">
        <w:rPr>
          <w:rFonts w:ascii="Times New Roman" w:hAnsi="Times New Roman" w:cs="Times New Roman"/>
          <w:b/>
          <w:color w:val="000000"/>
          <w:sz w:val="18"/>
          <w:szCs w:val="18"/>
        </w:rPr>
        <w:t xml:space="preserve">Table </w:t>
      </w:r>
      <w:r w:rsidR="00094347" w:rsidRPr="00094347">
        <w:rPr>
          <w:rFonts w:ascii="Times New Roman" w:hAnsi="Times New Roman" w:cs="Times New Roman"/>
          <w:b/>
          <w:color w:val="000000"/>
          <w:sz w:val="18"/>
          <w:szCs w:val="18"/>
        </w:rPr>
        <w:t>6</w:t>
      </w:r>
      <w:r w:rsidR="000B5256" w:rsidRPr="00094347">
        <w:rPr>
          <w:rFonts w:ascii="Times New Roman" w:hAnsi="Times New Roman" w:cs="Times New Roman"/>
          <w:b/>
          <w:color w:val="000000"/>
          <w:sz w:val="18"/>
          <w:szCs w:val="18"/>
        </w:rPr>
        <w:t>:</w:t>
      </w:r>
      <w:r w:rsidRPr="00094347">
        <w:rPr>
          <w:rFonts w:ascii="Times New Roman" w:hAnsi="Times New Roman" w:cs="Times New Roman"/>
          <w:b/>
          <w:color w:val="000000"/>
          <w:sz w:val="18"/>
          <w:szCs w:val="18"/>
        </w:rPr>
        <w:t xml:space="preserve"> regression analysis </w:t>
      </w:r>
    </w:p>
    <w:tbl>
      <w:tblPr>
        <w:tblW w:w="0" w:type="auto"/>
        <w:jc w:val="center"/>
        <w:tblLayout w:type="fixed"/>
        <w:tblCellMar>
          <w:left w:w="75" w:type="dxa"/>
          <w:right w:w="75" w:type="dxa"/>
        </w:tblCellMar>
        <w:tblLook w:val="0000" w:firstRow="0" w:lastRow="0" w:firstColumn="0" w:lastColumn="0" w:noHBand="0" w:noVBand="0"/>
      </w:tblPr>
      <w:tblGrid>
        <w:gridCol w:w="1947"/>
        <w:gridCol w:w="1584"/>
        <w:gridCol w:w="1584"/>
        <w:gridCol w:w="1584"/>
      </w:tblGrid>
      <w:tr w:rsidR="001A08C7" w:rsidRPr="001A08C7" w14:paraId="1DCE4460" w14:textId="77777777" w:rsidTr="00414E90">
        <w:trPr>
          <w:jc w:val="center"/>
        </w:trPr>
        <w:tc>
          <w:tcPr>
            <w:tcW w:w="1947" w:type="dxa"/>
            <w:tcBorders>
              <w:top w:val="single" w:sz="6" w:space="0" w:color="auto"/>
              <w:left w:val="nil"/>
              <w:bottom w:val="nil"/>
              <w:right w:val="nil"/>
            </w:tcBorders>
          </w:tcPr>
          <w:p w14:paraId="52A0555B" w14:textId="77777777" w:rsidR="001A08C7" w:rsidRPr="001A08C7" w:rsidRDefault="001A08C7" w:rsidP="00414E90">
            <w:pPr>
              <w:widowControl w:val="0"/>
              <w:autoSpaceDE w:val="0"/>
              <w:autoSpaceDN w:val="0"/>
              <w:adjustRightInd w:val="0"/>
              <w:spacing w:after="0" w:line="240" w:lineRule="auto"/>
              <w:rPr>
                <w:rFonts w:ascii="Times New Roman" w:hAnsi="Times New Roman" w:cs="Times New Roman"/>
                <w:sz w:val="18"/>
                <w:szCs w:val="18"/>
              </w:rPr>
            </w:pPr>
            <w:bookmarkStart w:id="5" w:name="_Hlk129612312"/>
          </w:p>
        </w:tc>
        <w:tc>
          <w:tcPr>
            <w:tcW w:w="1584" w:type="dxa"/>
            <w:tcBorders>
              <w:top w:val="single" w:sz="6" w:space="0" w:color="auto"/>
              <w:left w:val="nil"/>
              <w:bottom w:val="nil"/>
              <w:right w:val="nil"/>
            </w:tcBorders>
          </w:tcPr>
          <w:p w14:paraId="6BF76AEF" w14:textId="77777777" w:rsidR="001A08C7" w:rsidRPr="001A08C7" w:rsidRDefault="001A08C7" w:rsidP="00414E90">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(1)</w:t>
            </w:r>
          </w:p>
        </w:tc>
        <w:tc>
          <w:tcPr>
            <w:tcW w:w="1584" w:type="dxa"/>
            <w:tcBorders>
              <w:top w:val="single" w:sz="6" w:space="0" w:color="auto"/>
              <w:left w:val="nil"/>
              <w:bottom w:val="nil"/>
              <w:right w:val="nil"/>
            </w:tcBorders>
          </w:tcPr>
          <w:p w14:paraId="0DCE3BBA" w14:textId="77777777" w:rsidR="001A08C7" w:rsidRPr="001A08C7" w:rsidRDefault="001A08C7" w:rsidP="00414E90">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(2)</w:t>
            </w:r>
          </w:p>
        </w:tc>
        <w:tc>
          <w:tcPr>
            <w:tcW w:w="1584" w:type="dxa"/>
            <w:tcBorders>
              <w:top w:val="single" w:sz="6" w:space="0" w:color="auto"/>
              <w:left w:val="nil"/>
              <w:bottom w:val="nil"/>
              <w:right w:val="nil"/>
            </w:tcBorders>
          </w:tcPr>
          <w:p w14:paraId="3BD60D70" w14:textId="77777777" w:rsidR="001A08C7" w:rsidRPr="001A08C7" w:rsidRDefault="001A08C7" w:rsidP="00414E90">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(3)</w:t>
            </w:r>
          </w:p>
        </w:tc>
      </w:tr>
      <w:tr w:rsidR="001A08C7" w:rsidRPr="001A08C7" w14:paraId="19F1130C" w14:textId="77777777" w:rsidTr="00414E90">
        <w:trPr>
          <w:jc w:val="center"/>
        </w:trPr>
        <w:tc>
          <w:tcPr>
            <w:tcW w:w="1947" w:type="dxa"/>
            <w:tcBorders>
              <w:top w:val="nil"/>
              <w:left w:val="nil"/>
              <w:bottom w:val="single" w:sz="6" w:space="0" w:color="auto"/>
              <w:right w:val="nil"/>
            </w:tcBorders>
          </w:tcPr>
          <w:p w14:paraId="0D21E3A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VARIABLES</w:t>
            </w:r>
          </w:p>
        </w:tc>
        <w:tc>
          <w:tcPr>
            <w:tcW w:w="1584" w:type="dxa"/>
            <w:tcBorders>
              <w:top w:val="nil"/>
              <w:left w:val="nil"/>
              <w:bottom w:val="single" w:sz="6" w:space="0" w:color="auto"/>
              <w:right w:val="nil"/>
            </w:tcBorders>
          </w:tcPr>
          <w:p w14:paraId="682844A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Pooled OLS</w:t>
            </w:r>
          </w:p>
        </w:tc>
        <w:tc>
          <w:tcPr>
            <w:tcW w:w="1584" w:type="dxa"/>
            <w:tcBorders>
              <w:top w:val="nil"/>
              <w:left w:val="nil"/>
              <w:bottom w:val="single" w:sz="6" w:space="0" w:color="auto"/>
              <w:right w:val="nil"/>
            </w:tcBorders>
          </w:tcPr>
          <w:p w14:paraId="6BDEAE94"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Random Effect</w:t>
            </w:r>
          </w:p>
        </w:tc>
        <w:tc>
          <w:tcPr>
            <w:tcW w:w="1584" w:type="dxa"/>
            <w:tcBorders>
              <w:top w:val="nil"/>
              <w:left w:val="nil"/>
              <w:bottom w:val="single" w:sz="6" w:space="0" w:color="auto"/>
              <w:right w:val="nil"/>
            </w:tcBorders>
          </w:tcPr>
          <w:p w14:paraId="58DC63E4"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Fixed Effect</w:t>
            </w:r>
          </w:p>
        </w:tc>
      </w:tr>
      <w:tr w:rsidR="001A08C7" w:rsidRPr="001A08C7" w14:paraId="10221120" w14:textId="77777777" w:rsidTr="00414E90">
        <w:trPr>
          <w:jc w:val="center"/>
        </w:trPr>
        <w:tc>
          <w:tcPr>
            <w:tcW w:w="1947" w:type="dxa"/>
            <w:tcBorders>
              <w:top w:val="nil"/>
              <w:left w:val="nil"/>
              <w:bottom w:val="nil"/>
              <w:right w:val="nil"/>
            </w:tcBorders>
          </w:tcPr>
          <w:p w14:paraId="50747871"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1F3D7306"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13727D35"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2A3A0D6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r>
      <w:tr w:rsidR="001A08C7" w:rsidRPr="001A08C7" w14:paraId="307A4F0A" w14:textId="77777777" w:rsidTr="00414E90">
        <w:trPr>
          <w:jc w:val="center"/>
        </w:trPr>
        <w:tc>
          <w:tcPr>
            <w:tcW w:w="1947" w:type="dxa"/>
            <w:tcBorders>
              <w:top w:val="nil"/>
              <w:left w:val="nil"/>
              <w:bottom w:val="nil"/>
              <w:right w:val="nil"/>
            </w:tcBorders>
          </w:tcPr>
          <w:p w14:paraId="05F7BC24" w14:textId="781D392B" w:rsidR="001A08C7" w:rsidRPr="001A08C7" w:rsidRDefault="003D63D2" w:rsidP="003D63D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BSIZE</w:t>
            </w:r>
          </w:p>
        </w:tc>
        <w:tc>
          <w:tcPr>
            <w:tcW w:w="1584" w:type="dxa"/>
            <w:tcBorders>
              <w:top w:val="nil"/>
              <w:left w:val="nil"/>
              <w:bottom w:val="nil"/>
              <w:right w:val="nil"/>
            </w:tcBorders>
          </w:tcPr>
          <w:p w14:paraId="0BF95772" w14:textId="45A1295B"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0.0218</w:t>
            </w:r>
          </w:p>
        </w:tc>
        <w:tc>
          <w:tcPr>
            <w:tcW w:w="1584" w:type="dxa"/>
            <w:tcBorders>
              <w:top w:val="nil"/>
              <w:left w:val="nil"/>
              <w:bottom w:val="nil"/>
              <w:right w:val="nil"/>
            </w:tcBorders>
          </w:tcPr>
          <w:p w14:paraId="779C63E3" w14:textId="28970B81"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0.0218</w:t>
            </w:r>
          </w:p>
        </w:tc>
        <w:tc>
          <w:tcPr>
            <w:tcW w:w="1584" w:type="dxa"/>
            <w:tcBorders>
              <w:top w:val="nil"/>
              <w:left w:val="nil"/>
              <w:bottom w:val="nil"/>
              <w:right w:val="nil"/>
            </w:tcBorders>
          </w:tcPr>
          <w:p w14:paraId="45B0F380" w14:textId="07E6494F"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0.0940**</w:t>
            </w:r>
          </w:p>
        </w:tc>
      </w:tr>
      <w:tr w:rsidR="001A08C7" w:rsidRPr="001A08C7" w14:paraId="736440EB" w14:textId="77777777" w:rsidTr="00414E90">
        <w:trPr>
          <w:jc w:val="center"/>
        </w:trPr>
        <w:tc>
          <w:tcPr>
            <w:tcW w:w="1947" w:type="dxa"/>
            <w:tcBorders>
              <w:top w:val="nil"/>
              <w:left w:val="nil"/>
              <w:bottom w:val="nil"/>
              <w:right w:val="nil"/>
            </w:tcBorders>
          </w:tcPr>
          <w:p w14:paraId="5F370ECB"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5E3F6B9E" w14:textId="52BC6B90"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(0.0461)</w:t>
            </w:r>
          </w:p>
        </w:tc>
        <w:tc>
          <w:tcPr>
            <w:tcW w:w="1584" w:type="dxa"/>
            <w:tcBorders>
              <w:top w:val="nil"/>
              <w:left w:val="nil"/>
              <w:bottom w:val="nil"/>
              <w:right w:val="nil"/>
            </w:tcBorders>
          </w:tcPr>
          <w:p w14:paraId="42107F7D" w14:textId="2177558C"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(0.0461)</w:t>
            </w:r>
          </w:p>
        </w:tc>
        <w:tc>
          <w:tcPr>
            <w:tcW w:w="1584" w:type="dxa"/>
            <w:tcBorders>
              <w:top w:val="nil"/>
              <w:left w:val="nil"/>
              <w:bottom w:val="nil"/>
              <w:right w:val="nil"/>
            </w:tcBorders>
          </w:tcPr>
          <w:p w14:paraId="0DF7B841" w14:textId="7A19945A"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(0.0472)</w:t>
            </w:r>
          </w:p>
        </w:tc>
      </w:tr>
      <w:tr w:rsidR="001A08C7" w:rsidRPr="001A08C7" w14:paraId="0B44622A" w14:textId="77777777" w:rsidTr="00414E90">
        <w:trPr>
          <w:jc w:val="center"/>
        </w:trPr>
        <w:tc>
          <w:tcPr>
            <w:tcW w:w="1947" w:type="dxa"/>
            <w:tcBorders>
              <w:top w:val="nil"/>
              <w:left w:val="nil"/>
              <w:bottom w:val="nil"/>
              <w:right w:val="nil"/>
            </w:tcBorders>
          </w:tcPr>
          <w:p w14:paraId="681B771F" w14:textId="198DBC85" w:rsidR="001A08C7" w:rsidRPr="001A08C7" w:rsidRDefault="003D63D2" w:rsidP="003D63D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BIND</w:t>
            </w:r>
          </w:p>
        </w:tc>
        <w:tc>
          <w:tcPr>
            <w:tcW w:w="1584" w:type="dxa"/>
            <w:tcBorders>
              <w:top w:val="nil"/>
              <w:left w:val="nil"/>
              <w:bottom w:val="nil"/>
              <w:right w:val="nil"/>
            </w:tcBorders>
          </w:tcPr>
          <w:p w14:paraId="00B5D4E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0.124</w:t>
            </w:r>
          </w:p>
        </w:tc>
        <w:tc>
          <w:tcPr>
            <w:tcW w:w="1584" w:type="dxa"/>
            <w:tcBorders>
              <w:top w:val="nil"/>
              <w:left w:val="nil"/>
              <w:bottom w:val="nil"/>
              <w:right w:val="nil"/>
            </w:tcBorders>
          </w:tcPr>
          <w:p w14:paraId="5AB65AD1"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0.124</w:t>
            </w:r>
          </w:p>
        </w:tc>
        <w:tc>
          <w:tcPr>
            <w:tcW w:w="1584" w:type="dxa"/>
            <w:tcBorders>
              <w:top w:val="nil"/>
              <w:left w:val="nil"/>
              <w:bottom w:val="nil"/>
              <w:right w:val="nil"/>
            </w:tcBorders>
          </w:tcPr>
          <w:p w14:paraId="20C6F226"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0.129</w:t>
            </w:r>
          </w:p>
        </w:tc>
      </w:tr>
      <w:tr w:rsidR="001A08C7" w:rsidRPr="001A08C7" w14:paraId="656C1715" w14:textId="77777777" w:rsidTr="00414E90">
        <w:trPr>
          <w:jc w:val="center"/>
        </w:trPr>
        <w:tc>
          <w:tcPr>
            <w:tcW w:w="1947" w:type="dxa"/>
            <w:tcBorders>
              <w:top w:val="nil"/>
              <w:left w:val="nil"/>
              <w:bottom w:val="nil"/>
              <w:right w:val="nil"/>
            </w:tcBorders>
          </w:tcPr>
          <w:p w14:paraId="5976AE3D"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390730DA"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(0.0986)</w:t>
            </w:r>
          </w:p>
        </w:tc>
        <w:tc>
          <w:tcPr>
            <w:tcW w:w="1584" w:type="dxa"/>
            <w:tcBorders>
              <w:top w:val="nil"/>
              <w:left w:val="nil"/>
              <w:bottom w:val="nil"/>
              <w:right w:val="nil"/>
            </w:tcBorders>
          </w:tcPr>
          <w:p w14:paraId="63E9FB1A"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(0.0986)</w:t>
            </w:r>
          </w:p>
        </w:tc>
        <w:tc>
          <w:tcPr>
            <w:tcW w:w="1584" w:type="dxa"/>
            <w:tcBorders>
              <w:top w:val="nil"/>
              <w:left w:val="nil"/>
              <w:bottom w:val="nil"/>
              <w:right w:val="nil"/>
            </w:tcBorders>
          </w:tcPr>
          <w:p w14:paraId="22530178"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(0.153)</w:t>
            </w:r>
          </w:p>
        </w:tc>
      </w:tr>
      <w:tr w:rsidR="001A08C7" w:rsidRPr="001A08C7" w14:paraId="7434C4EA" w14:textId="77777777" w:rsidTr="00414E90">
        <w:trPr>
          <w:jc w:val="center"/>
        </w:trPr>
        <w:tc>
          <w:tcPr>
            <w:tcW w:w="1947" w:type="dxa"/>
            <w:tcBorders>
              <w:top w:val="nil"/>
              <w:left w:val="nil"/>
              <w:bottom w:val="nil"/>
              <w:right w:val="nil"/>
            </w:tcBorders>
          </w:tcPr>
          <w:p w14:paraId="7EBE6D32" w14:textId="4970B18C" w:rsidR="001A08C7" w:rsidRPr="001A08C7" w:rsidRDefault="003D63D2" w:rsidP="003D63D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BGED</w:t>
            </w:r>
          </w:p>
        </w:tc>
        <w:tc>
          <w:tcPr>
            <w:tcW w:w="1584" w:type="dxa"/>
            <w:tcBorders>
              <w:top w:val="nil"/>
              <w:left w:val="nil"/>
              <w:bottom w:val="nil"/>
              <w:right w:val="nil"/>
            </w:tcBorders>
          </w:tcPr>
          <w:p w14:paraId="6A701EEF"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-0.0738</w:t>
            </w:r>
          </w:p>
        </w:tc>
        <w:tc>
          <w:tcPr>
            <w:tcW w:w="1584" w:type="dxa"/>
            <w:tcBorders>
              <w:top w:val="nil"/>
              <w:left w:val="nil"/>
              <w:bottom w:val="nil"/>
              <w:right w:val="nil"/>
            </w:tcBorders>
          </w:tcPr>
          <w:p w14:paraId="6A5F95C2"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-0.0738</w:t>
            </w:r>
          </w:p>
        </w:tc>
        <w:tc>
          <w:tcPr>
            <w:tcW w:w="1584" w:type="dxa"/>
            <w:tcBorders>
              <w:top w:val="nil"/>
              <w:left w:val="nil"/>
              <w:bottom w:val="nil"/>
              <w:right w:val="nil"/>
            </w:tcBorders>
          </w:tcPr>
          <w:p w14:paraId="700112A2"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-0.269**</w:t>
            </w:r>
          </w:p>
        </w:tc>
      </w:tr>
      <w:tr w:rsidR="001A08C7" w:rsidRPr="001A08C7" w14:paraId="1A8297B2" w14:textId="77777777" w:rsidTr="00414E90">
        <w:trPr>
          <w:jc w:val="center"/>
        </w:trPr>
        <w:tc>
          <w:tcPr>
            <w:tcW w:w="1947" w:type="dxa"/>
            <w:tcBorders>
              <w:top w:val="nil"/>
              <w:left w:val="nil"/>
              <w:bottom w:val="nil"/>
              <w:right w:val="nil"/>
            </w:tcBorders>
          </w:tcPr>
          <w:p w14:paraId="27732CC9"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0889E48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(0.108)</w:t>
            </w:r>
          </w:p>
        </w:tc>
        <w:tc>
          <w:tcPr>
            <w:tcW w:w="1584" w:type="dxa"/>
            <w:tcBorders>
              <w:top w:val="nil"/>
              <w:left w:val="nil"/>
              <w:bottom w:val="nil"/>
              <w:right w:val="nil"/>
            </w:tcBorders>
          </w:tcPr>
          <w:p w14:paraId="2D10C9CA"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(0.108)</w:t>
            </w:r>
          </w:p>
        </w:tc>
        <w:tc>
          <w:tcPr>
            <w:tcW w:w="1584" w:type="dxa"/>
            <w:tcBorders>
              <w:top w:val="nil"/>
              <w:left w:val="nil"/>
              <w:bottom w:val="nil"/>
              <w:right w:val="nil"/>
            </w:tcBorders>
          </w:tcPr>
          <w:p w14:paraId="781A0D71"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(0.123)</w:t>
            </w:r>
          </w:p>
        </w:tc>
      </w:tr>
      <w:tr w:rsidR="001A08C7" w:rsidRPr="001A08C7" w14:paraId="46096198" w14:textId="77777777" w:rsidTr="00414E90">
        <w:trPr>
          <w:jc w:val="center"/>
        </w:trPr>
        <w:tc>
          <w:tcPr>
            <w:tcW w:w="1947" w:type="dxa"/>
            <w:tcBorders>
              <w:top w:val="nil"/>
              <w:left w:val="nil"/>
              <w:bottom w:val="nil"/>
              <w:right w:val="nil"/>
            </w:tcBorders>
          </w:tcPr>
          <w:p w14:paraId="1F025405" w14:textId="5422E452" w:rsidR="001A08C7" w:rsidRPr="001A08C7" w:rsidRDefault="003D63D2" w:rsidP="003D63D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FSIZE</w:t>
            </w:r>
          </w:p>
        </w:tc>
        <w:tc>
          <w:tcPr>
            <w:tcW w:w="1584" w:type="dxa"/>
            <w:tcBorders>
              <w:top w:val="nil"/>
              <w:left w:val="nil"/>
              <w:bottom w:val="nil"/>
              <w:right w:val="nil"/>
            </w:tcBorders>
          </w:tcPr>
          <w:p w14:paraId="375DFAD1"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0.0613***</w:t>
            </w:r>
          </w:p>
        </w:tc>
        <w:tc>
          <w:tcPr>
            <w:tcW w:w="1584" w:type="dxa"/>
            <w:tcBorders>
              <w:top w:val="nil"/>
              <w:left w:val="nil"/>
              <w:bottom w:val="nil"/>
              <w:right w:val="nil"/>
            </w:tcBorders>
          </w:tcPr>
          <w:p w14:paraId="2B6BE3D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0.0613***</w:t>
            </w:r>
          </w:p>
        </w:tc>
        <w:tc>
          <w:tcPr>
            <w:tcW w:w="1584" w:type="dxa"/>
            <w:tcBorders>
              <w:top w:val="nil"/>
              <w:left w:val="nil"/>
              <w:bottom w:val="nil"/>
              <w:right w:val="nil"/>
            </w:tcBorders>
          </w:tcPr>
          <w:p w14:paraId="6510869F"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0.106***</w:t>
            </w:r>
          </w:p>
        </w:tc>
      </w:tr>
      <w:tr w:rsidR="001A08C7" w:rsidRPr="001A08C7" w14:paraId="7E322CFA" w14:textId="77777777" w:rsidTr="00414E90">
        <w:trPr>
          <w:jc w:val="center"/>
        </w:trPr>
        <w:tc>
          <w:tcPr>
            <w:tcW w:w="1947" w:type="dxa"/>
            <w:tcBorders>
              <w:top w:val="nil"/>
              <w:left w:val="nil"/>
              <w:bottom w:val="nil"/>
              <w:right w:val="nil"/>
            </w:tcBorders>
          </w:tcPr>
          <w:p w14:paraId="70F1EA45"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0BB5420B"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(0.0112)</w:t>
            </w:r>
          </w:p>
        </w:tc>
        <w:tc>
          <w:tcPr>
            <w:tcW w:w="1584" w:type="dxa"/>
            <w:tcBorders>
              <w:top w:val="nil"/>
              <w:left w:val="nil"/>
              <w:bottom w:val="nil"/>
              <w:right w:val="nil"/>
            </w:tcBorders>
          </w:tcPr>
          <w:p w14:paraId="43B365E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(0.0112)</w:t>
            </w:r>
          </w:p>
        </w:tc>
        <w:tc>
          <w:tcPr>
            <w:tcW w:w="1584" w:type="dxa"/>
            <w:tcBorders>
              <w:top w:val="nil"/>
              <w:left w:val="nil"/>
              <w:bottom w:val="nil"/>
              <w:right w:val="nil"/>
            </w:tcBorders>
          </w:tcPr>
          <w:p w14:paraId="54593AD0"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(0.0231)</w:t>
            </w:r>
          </w:p>
        </w:tc>
      </w:tr>
      <w:tr w:rsidR="001A08C7" w:rsidRPr="001A08C7" w14:paraId="0396E891" w14:textId="77777777" w:rsidTr="00414E90">
        <w:trPr>
          <w:jc w:val="center"/>
        </w:trPr>
        <w:tc>
          <w:tcPr>
            <w:tcW w:w="1947" w:type="dxa"/>
            <w:tcBorders>
              <w:top w:val="nil"/>
              <w:left w:val="nil"/>
              <w:bottom w:val="nil"/>
              <w:right w:val="nil"/>
            </w:tcBorders>
          </w:tcPr>
          <w:p w14:paraId="65F476D8" w14:textId="0D7B5D8C" w:rsidR="001A08C7" w:rsidRPr="001A08C7" w:rsidRDefault="003D63D2" w:rsidP="003D63D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FAGE</w:t>
            </w:r>
          </w:p>
        </w:tc>
        <w:tc>
          <w:tcPr>
            <w:tcW w:w="1584" w:type="dxa"/>
            <w:tcBorders>
              <w:top w:val="nil"/>
              <w:left w:val="nil"/>
              <w:bottom w:val="nil"/>
              <w:right w:val="nil"/>
            </w:tcBorders>
          </w:tcPr>
          <w:p w14:paraId="6E80186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0.110***</w:t>
            </w:r>
          </w:p>
        </w:tc>
        <w:tc>
          <w:tcPr>
            <w:tcW w:w="1584" w:type="dxa"/>
            <w:tcBorders>
              <w:top w:val="nil"/>
              <w:left w:val="nil"/>
              <w:bottom w:val="nil"/>
              <w:right w:val="nil"/>
            </w:tcBorders>
          </w:tcPr>
          <w:p w14:paraId="433522C0"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0.110***</w:t>
            </w:r>
          </w:p>
        </w:tc>
        <w:tc>
          <w:tcPr>
            <w:tcW w:w="1584" w:type="dxa"/>
            <w:tcBorders>
              <w:top w:val="nil"/>
              <w:left w:val="nil"/>
              <w:bottom w:val="nil"/>
              <w:right w:val="nil"/>
            </w:tcBorders>
          </w:tcPr>
          <w:p w14:paraId="6882F8FD"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0.268***</w:t>
            </w:r>
          </w:p>
        </w:tc>
      </w:tr>
      <w:tr w:rsidR="001A08C7" w:rsidRPr="001A08C7" w14:paraId="723516C1" w14:textId="77777777" w:rsidTr="00414E90">
        <w:trPr>
          <w:jc w:val="center"/>
        </w:trPr>
        <w:tc>
          <w:tcPr>
            <w:tcW w:w="1947" w:type="dxa"/>
            <w:tcBorders>
              <w:top w:val="nil"/>
              <w:left w:val="nil"/>
              <w:bottom w:val="nil"/>
              <w:right w:val="nil"/>
            </w:tcBorders>
          </w:tcPr>
          <w:p w14:paraId="4F64B04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64CC91ED"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(0.0273)</w:t>
            </w:r>
          </w:p>
        </w:tc>
        <w:tc>
          <w:tcPr>
            <w:tcW w:w="1584" w:type="dxa"/>
            <w:tcBorders>
              <w:top w:val="nil"/>
              <w:left w:val="nil"/>
              <w:bottom w:val="nil"/>
              <w:right w:val="nil"/>
            </w:tcBorders>
          </w:tcPr>
          <w:p w14:paraId="1707190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(0.0273)</w:t>
            </w:r>
          </w:p>
        </w:tc>
        <w:tc>
          <w:tcPr>
            <w:tcW w:w="1584" w:type="dxa"/>
            <w:tcBorders>
              <w:top w:val="nil"/>
              <w:left w:val="nil"/>
              <w:bottom w:val="nil"/>
              <w:right w:val="nil"/>
            </w:tcBorders>
          </w:tcPr>
          <w:p w14:paraId="0657D28D"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(0.0423)</w:t>
            </w:r>
          </w:p>
        </w:tc>
      </w:tr>
      <w:tr w:rsidR="001A08C7" w:rsidRPr="001A08C7" w14:paraId="5FB06A66" w14:textId="77777777" w:rsidTr="00414E90">
        <w:trPr>
          <w:jc w:val="center"/>
        </w:trPr>
        <w:tc>
          <w:tcPr>
            <w:tcW w:w="1947" w:type="dxa"/>
            <w:tcBorders>
              <w:top w:val="nil"/>
              <w:left w:val="nil"/>
              <w:bottom w:val="nil"/>
              <w:right w:val="nil"/>
            </w:tcBorders>
          </w:tcPr>
          <w:p w14:paraId="79B6D868" w14:textId="424D9DC5" w:rsidR="001A08C7" w:rsidRPr="001A08C7" w:rsidRDefault="003D63D2" w:rsidP="003D63D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FLEV</w:t>
            </w:r>
          </w:p>
        </w:tc>
        <w:tc>
          <w:tcPr>
            <w:tcW w:w="1584" w:type="dxa"/>
            <w:tcBorders>
              <w:top w:val="nil"/>
              <w:left w:val="nil"/>
              <w:bottom w:val="nil"/>
              <w:right w:val="nil"/>
            </w:tcBorders>
          </w:tcPr>
          <w:p w14:paraId="7698F601"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-0.0191</w:t>
            </w:r>
          </w:p>
        </w:tc>
        <w:tc>
          <w:tcPr>
            <w:tcW w:w="1584" w:type="dxa"/>
            <w:tcBorders>
              <w:top w:val="nil"/>
              <w:left w:val="nil"/>
              <w:bottom w:val="nil"/>
              <w:right w:val="nil"/>
            </w:tcBorders>
          </w:tcPr>
          <w:p w14:paraId="652277AD"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-0.0191</w:t>
            </w:r>
          </w:p>
        </w:tc>
        <w:tc>
          <w:tcPr>
            <w:tcW w:w="1584" w:type="dxa"/>
            <w:tcBorders>
              <w:top w:val="nil"/>
              <w:left w:val="nil"/>
              <w:bottom w:val="nil"/>
              <w:right w:val="nil"/>
            </w:tcBorders>
          </w:tcPr>
          <w:p w14:paraId="765616AA"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-0.112*</w:t>
            </w:r>
          </w:p>
        </w:tc>
      </w:tr>
      <w:tr w:rsidR="001A08C7" w:rsidRPr="001A08C7" w14:paraId="67FC0C6B" w14:textId="77777777" w:rsidTr="00414E90">
        <w:trPr>
          <w:jc w:val="center"/>
        </w:trPr>
        <w:tc>
          <w:tcPr>
            <w:tcW w:w="1947" w:type="dxa"/>
            <w:tcBorders>
              <w:top w:val="nil"/>
              <w:left w:val="nil"/>
              <w:bottom w:val="nil"/>
              <w:right w:val="nil"/>
            </w:tcBorders>
          </w:tcPr>
          <w:p w14:paraId="0DEEA19A"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16BA3C8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(0.0562)</w:t>
            </w:r>
          </w:p>
        </w:tc>
        <w:tc>
          <w:tcPr>
            <w:tcW w:w="1584" w:type="dxa"/>
            <w:tcBorders>
              <w:top w:val="nil"/>
              <w:left w:val="nil"/>
              <w:bottom w:val="nil"/>
              <w:right w:val="nil"/>
            </w:tcBorders>
          </w:tcPr>
          <w:p w14:paraId="01B1E27D"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(0.0562)</w:t>
            </w:r>
          </w:p>
        </w:tc>
        <w:tc>
          <w:tcPr>
            <w:tcW w:w="1584" w:type="dxa"/>
            <w:tcBorders>
              <w:top w:val="nil"/>
              <w:left w:val="nil"/>
              <w:bottom w:val="nil"/>
              <w:right w:val="nil"/>
            </w:tcBorders>
          </w:tcPr>
          <w:p w14:paraId="204A932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(0.0648)</w:t>
            </w:r>
          </w:p>
        </w:tc>
      </w:tr>
      <w:tr w:rsidR="001A08C7" w:rsidRPr="001A08C7" w14:paraId="3541D1BA" w14:textId="77777777" w:rsidTr="00414E90">
        <w:trPr>
          <w:jc w:val="center"/>
        </w:trPr>
        <w:tc>
          <w:tcPr>
            <w:tcW w:w="1947" w:type="dxa"/>
            <w:tcBorders>
              <w:top w:val="nil"/>
              <w:left w:val="nil"/>
              <w:bottom w:val="nil"/>
              <w:right w:val="nil"/>
            </w:tcBorders>
          </w:tcPr>
          <w:p w14:paraId="4B756021" w14:textId="596A2C7D" w:rsidR="001A08C7" w:rsidRPr="001A08C7" w:rsidRDefault="003D63D2" w:rsidP="003D63D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FPROF</w:t>
            </w:r>
          </w:p>
        </w:tc>
        <w:tc>
          <w:tcPr>
            <w:tcW w:w="1584" w:type="dxa"/>
            <w:tcBorders>
              <w:top w:val="nil"/>
              <w:left w:val="nil"/>
              <w:bottom w:val="nil"/>
              <w:right w:val="nil"/>
            </w:tcBorders>
          </w:tcPr>
          <w:p w14:paraId="70F5A41B"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0.0677</w:t>
            </w:r>
          </w:p>
        </w:tc>
        <w:tc>
          <w:tcPr>
            <w:tcW w:w="1584" w:type="dxa"/>
            <w:tcBorders>
              <w:top w:val="nil"/>
              <w:left w:val="nil"/>
              <w:bottom w:val="nil"/>
              <w:right w:val="nil"/>
            </w:tcBorders>
          </w:tcPr>
          <w:p w14:paraId="1AA5A303"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0.0677</w:t>
            </w:r>
          </w:p>
        </w:tc>
        <w:tc>
          <w:tcPr>
            <w:tcW w:w="1584" w:type="dxa"/>
            <w:tcBorders>
              <w:top w:val="nil"/>
              <w:left w:val="nil"/>
              <w:bottom w:val="nil"/>
              <w:right w:val="nil"/>
            </w:tcBorders>
          </w:tcPr>
          <w:p w14:paraId="5F6B5FA9"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-0.0407</w:t>
            </w:r>
          </w:p>
        </w:tc>
      </w:tr>
      <w:tr w:rsidR="001A08C7" w:rsidRPr="001A08C7" w14:paraId="57EEFFBB" w14:textId="77777777" w:rsidTr="00414E90">
        <w:trPr>
          <w:jc w:val="center"/>
        </w:trPr>
        <w:tc>
          <w:tcPr>
            <w:tcW w:w="1947" w:type="dxa"/>
            <w:tcBorders>
              <w:top w:val="nil"/>
              <w:left w:val="nil"/>
              <w:bottom w:val="nil"/>
              <w:right w:val="nil"/>
            </w:tcBorders>
          </w:tcPr>
          <w:p w14:paraId="3917A5A9"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5B3B1D1C"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(0.0911)</w:t>
            </w:r>
          </w:p>
        </w:tc>
        <w:tc>
          <w:tcPr>
            <w:tcW w:w="1584" w:type="dxa"/>
            <w:tcBorders>
              <w:top w:val="nil"/>
              <w:left w:val="nil"/>
              <w:bottom w:val="nil"/>
              <w:right w:val="nil"/>
            </w:tcBorders>
          </w:tcPr>
          <w:p w14:paraId="05D8976A"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(0.0911)</w:t>
            </w:r>
          </w:p>
        </w:tc>
        <w:tc>
          <w:tcPr>
            <w:tcW w:w="1584" w:type="dxa"/>
            <w:tcBorders>
              <w:top w:val="nil"/>
              <w:left w:val="nil"/>
              <w:bottom w:val="nil"/>
              <w:right w:val="nil"/>
            </w:tcBorders>
          </w:tcPr>
          <w:p w14:paraId="6135619F"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(0.0885)</w:t>
            </w:r>
          </w:p>
        </w:tc>
      </w:tr>
      <w:tr w:rsidR="001A08C7" w:rsidRPr="001A08C7" w14:paraId="0925F145" w14:textId="77777777" w:rsidTr="00414E90">
        <w:trPr>
          <w:jc w:val="center"/>
        </w:trPr>
        <w:tc>
          <w:tcPr>
            <w:tcW w:w="1947" w:type="dxa"/>
            <w:tcBorders>
              <w:top w:val="nil"/>
              <w:left w:val="nil"/>
              <w:bottom w:val="nil"/>
              <w:right w:val="nil"/>
            </w:tcBorders>
          </w:tcPr>
          <w:p w14:paraId="06D5832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Constant</w:t>
            </w:r>
          </w:p>
        </w:tc>
        <w:tc>
          <w:tcPr>
            <w:tcW w:w="1584" w:type="dxa"/>
            <w:tcBorders>
              <w:top w:val="nil"/>
              <w:left w:val="nil"/>
              <w:bottom w:val="nil"/>
              <w:right w:val="nil"/>
            </w:tcBorders>
          </w:tcPr>
          <w:p w14:paraId="481516F4"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-0.975***</w:t>
            </w:r>
          </w:p>
        </w:tc>
        <w:tc>
          <w:tcPr>
            <w:tcW w:w="1584" w:type="dxa"/>
            <w:tcBorders>
              <w:top w:val="nil"/>
              <w:left w:val="nil"/>
              <w:bottom w:val="nil"/>
              <w:right w:val="nil"/>
            </w:tcBorders>
          </w:tcPr>
          <w:p w14:paraId="6C1E79C9"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-0.975***</w:t>
            </w:r>
          </w:p>
        </w:tc>
        <w:tc>
          <w:tcPr>
            <w:tcW w:w="1584" w:type="dxa"/>
            <w:tcBorders>
              <w:top w:val="nil"/>
              <w:left w:val="nil"/>
              <w:bottom w:val="nil"/>
              <w:right w:val="nil"/>
            </w:tcBorders>
          </w:tcPr>
          <w:p w14:paraId="68330A7B"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-2.264***</w:t>
            </w:r>
          </w:p>
        </w:tc>
      </w:tr>
      <w:tr w:rsidR="001A08C7" w:rsidRPr="001A08C7" w14:paraId="0EB800A4" w14:textId="77777777" w:rsidTr="00414E90">
        <w:trPr>
          <w:jc w:val="center"/>
        </w:trPr>
        <w:tc>
          <w:tcPr>
            <w:tcW w:w="1947" w:type="dxa"/>
            <w:tcBorders>
              <w:top w:val="nil"/>
              <w:left w:val="nil"/>
              <w:bottom w:val="nil"/>
              <w:right w:val="nil"/>
            </w:tcBorders>
          </w:tcPr>
          <w:p w14:paraId="0FA59CB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5F79D83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(0.204)</w:t>
            </w:r>
          </w:p>
        </w:tc>
        <w:tc>
          <w:tcPr>
            <w:tcW w:w="1584" w:type="dxa"/>
            <w:tcBorders>
              <w:top w:val="nil"/>
              <w:left w:val="nil"/>
              <w:bottom w:val="nil"/>
              <w:right w:val="nil"/>
            </w:tcBorders>
          </w:tcPr>
          <w:p w14:paraId="6069B277"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(0.204)</w:t>
            </w:r>
          </w:p>
        </w:tc>
        <w:tc>
          <w:tcPr>
            <w:tcW w:w="1584" w:type="dxa"/>
            <w:tcBorders>
              <w:top w:val="nil"/>
              <w:left w:val="nil"/>
              <w:bottom w:val="nil"/>
              <w:right w:val="nil"/>
            </w:tcBorders>
          </w:tcPr>
          <w:p w14:paraId="51F0674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(0.402)</w:t>
            </w:r>
          </w:p>
        </w:tc>
      </w:tr>
      <w:tr w:rsidR="001A08C7" w:rsidRPr="001A08C7" w14:paraId="6C6AF859" w14:textId="77777777" w:rsidTr="00414E90">
        <w:trPr>
          <w:jc w:val="center"/>
        </w:trPr>
        <w:tc>
          <w:tcPr>
            <w:tcW w:w="1947" w:type="dxa"/>
            <w:tcBorders>
              <w:top w:val="nil"/>
              <w:left w:val="nil"/>
              <w:bottom w:val="nil"/>
              <w:right w:val="nil"/>
            </w:tcBorders>
          </w:tcPr>
          <w:p w14:paraId="43FD5D3C"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69EE8F7A"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00031C82"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12694AE5"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r>
      <w:tr w:rsidR="001A08C7" w:rsidRPr="001A08C7" w14:paraId="3B16731E" w14:textId="77777777" w:rsidTr="00414E90">
        <w:trPr>
          <w:jc w:val="center"/>
        </w:trPr>
        <w:tc>
          <w:tcPr>
            <w:tcW w:w="1947" w:type="dxa"/>
            <w:tcBorders>
              <w:top w:val="nil"/>
              <w:left w:val="nil"/>
              <w:bottom w:val="nil"/>
              <w:right w:val="nil"/>
            </w:tcBorders>
          </w:tcPr>
          <w:p w14:paraId="5EC66F18"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Observations</w:t>
            </w:r>
          </w:p>
        </w:tc>
        <w:tc>
          <w:tcPr>
            <w:tcW w:w="1584" w:type="dxa"/>
            <w:tcBorders>
              <w:top w:val="nil"/>
              <w:left w:val="nil"/>
              <w:bottom w:val="nil"/>
              <w:right w:val="nil"/>
            </w:tcBorders>
          </w:tcPr>
          <w:p w14:paraId="7DA0DE95"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225</w:t>
            </w:r>
          </w:p>
        </w:tc>
        <w:tc>
          <w:tcPr>
            <w:tcW w:w="1584" w:type="dxa"/>
            <w:tcBorders>
              <w:top w:val="nil"/>
              <w:left w:val="nil"/>
              <w:bottom w:val="nil"/>
              <w:right w:val="nil"/>
            </w:tcBorders>
          </w:tcPr>
          <w:p w14:paraId="1F87E56E"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225</w:t>
            </w:r>
          </w:p>
        </w:tc>
        <w:tc>
          <w:tcPr>
            <w:tcW w:w="1584" w:type="dxa"/>
            <w:tcBorders>
              <w:top w:val="nil"/>
              <w:left w:val="nil"/>
              <w:bottom w:val="nil"/>
              <w:right w:val="nil"/>
            </w:tcBorders>
          </w:tcPr>
          <w:p w14:paraId="3B7964A2"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225</w:t>
            </w:r>
          </w:p>
        </w:tc>
      </w:tr>
      <w:tr w:rsidR="001A08C7" w:rsidRPr="001A08C7" w14:paraId="5FC27BD5" w14:textId="77777777" w:rsidTr="00414E90">
        <w:trPr>
          <w:jc w:val="center"/>
        </w:trPr>
        <w:tc>
          <w:tcPr>
            <w:tcW w:w="1947" w:type="dxa"/>
            <w:tcBorders>
              <w:top w:val="nil"/>
              <w:left w:val="nil"/>
              <w:bottom w:val="nil"/>
              <w:right w:val="nil"/>
            </w:tcBorders>
          </w:tcPr>
          <w:p w14:paraId="674B1EB0"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R-squared</w:t>
            </w:r>
          </w:p>
        </w:tc>
        <w:tc>
          <w:tcPr>
            <w:tcW w:w="1584" w:type="dxa"/>
            <w:tcBorders>
              <w:top w:val="nil"/>
              <w:left w:val="nil"/>
              <w:bottom w:val="nil"/>
              <w:right w:val="nil"/>
            </w:tcBorders>
          </w:tcPr>
          <w:p w14:paraId="47E52924"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3D6836CD"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nil"/>
              <w:right w:val="nil"/>
            </w:tcBorders>
          </w:tcPr>
          <w:p w14:paraId="620B1F73" w14:textId="77777777" w:rsidR="001A08C7" w:rsidRPr="001A08C7" w:rsidRDefault="001A08C7" w:rsidP="003D63D2">
            <w:pPr>
              <w:widowControl w:val="0"/>
              <w:autoSpaceDE w:val="0"/>
              <w:autoSpaceDN w:val="0"/>
              <w:adjustRightInd w:val="0"/>
              <w:spacing w:after="0" w:line="240" w:lineRule="auto"/>
              <w:jc w:val="center"/>
              <w:rPr>
                <w:rFonts w:ascii="Times New Roman" w:hAnsi="Times New Roman" w:cs="Times New Roman"/>
                <w:sz w:val="18"/>
                <w:szCs w:val="18"/>
              </w:rPr>
            </w:pPr>
            <w:r w:rsidRPr="001A08C7">
              <w:rPr>
                <w:rFonts w:ascii="Times New Roman" w:hAnsi="Times New Roman" w:cs="Times New Roman"/>
                <w:sz w:val="18"/>
                <w:szCs w:val="18"/>
              </w:rPr>
              <w:t>0.384</w:t>
            </w:r>
          </w:p>
        </w:tc>
      </w:tr>
      <w:tr w:rsidR="007B240A" w:rsidRPr="001A08C7" w14:paraId="15FB5AB1" w14:textId="77777777" w:rsidTr="00414E90">
        <w:tblPrEx>
          <w:tblBorders>
            <w:bottom w:val="single" w:sz="6" w:space="0" w:color="auto"/>
          </w:tblBorders>
        </w:tblPrEx>
        <w:trPr>
          <w:jc w:val="center"/>
        </w:trPr>
        <w:tc>
          <w:tcPr>
            <w:tcW w:w="1947" w:type="dxa"/>
            <w:tcBorders>
              <w:top w:val="nil"/>
              <w:left w:val="nil"/>
              <w:bottom w:val="single" w:sz="6" w:space="0" w:color="auto"/>
              <w:right w:val="nil"/>
            </w:tcBorders>
          </w:tcPr>
          <w:p w14:paraId="7583804A" w14:textId="77777777" w:rsidR="007B240A" w:rsidRPr="001A08C7" w:rsidRDefault="007B240A"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single" w:sz="6" w:space="0" w:color="auto"/>
              <w:right w:val="nil"/>
            </w:tcBorders>
          </w:tcPr>
          <w:p w14:paraId="50DD8600" w14:textId="77777777" w:rsidR="007B240A" w:rsidRPr="001A08C7" w:rsidRDefault="007B240A"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single" w:sz="6" w:space="0" w:color="auto"/>
              <w:right w:val="nil"/>
            </w:tcBorders>
          </w:tcPr>
          <w:p w14:paraId="5D6A9639" w14:textId="77777777" w:rsidR="007B240A" w:rsidRPr="001A08C7" w:rsidRDefault="007B240A" w:rsidP="003D63D2">
            <w:pPr>
              <w:widowControl w:val="0"/>
              <w:autoSpaceDE w:val="0"/>
              <w:autoSpaceDN w:val="0"/>
              <w:adjustRightInd w:val="0"/>
              <w:spacing w:after="0" w:line="240" w:lineRule="auto"/>
              <w:jc w:val="center"/>
              <w:rPr>
                <w:rFonts w:ascii="Times New Roman" w:hAnsi="Times New Roman" w:cs="Times New Roman"/>
                <w:sz w:val="18"/>
                <w:szCs w:val="18"/>
              </w:rPr>
            </w:pPr>
          </w:p>
        </w:tc>
        <w:tc>
          <w:tcPr>
            <w:tcW w:w="1584" w:type="dxa"/>
            <w:tcBorders>
              <w:top w:val="nil"/>
              <w:left w:val="nil"/>
              <w:bottom w:val="single" w:sz="6" w:space="0" w:color="auto"/>
              <w:right w:val="nil"/>
            </w:tcBorders>
          </w:tcPr>
          <w:p w14:paraId="5D11FBF2" w14:textId="77777777" w:rsidR="007B240A" w:rsidRPr="001A08C7" w:rsidRDefault="007B240A" w:rsidP="003D63D2">
            <w:pPr>
              <w:widowControl w:val="0"/>
              <w:autoSpaceDE w:val="0"/>
              <w:autoSpaceDN w:val="0"/>
              <w:adjustRightInd w:val="0"/>
              <w:spacing w:after="0" w:line="240" w:lineRule="auto"/>
              <w:jc w:val="center"/>
              <w:rPr>
                <w:rFonts w:ascii="Times New Roman" w:hAnsi="Times New Roman" w:cs="Times New Roman"/>
                <w:sz w:val="18"/>
                <w:szCs w:val="18"/>
              </w:rPr>
            </w:pPr>
          </w:p>
        </w:tc>
      </w:tr>
    </w:tbl>
    <w:bookmarkEnd w:id="5"/>
    <w:p w14:paraId="265EB7AF" w14:textId="51037D4C" w:rsidR="000B5256" w:rsidRPr="00C6117E" w:rsidRDefault="001A08C7" w:rsidP="000B5256">
      <w:pPr>
        <w:widowControl w:val="0"/>
        <w:autoSpaceDE w:val="0"/>
        <w:autoSpaceDN w:val="0"/>
        <w:adjustRightInd w:val="0"/>
        <w:spacing w:after="0" w:line="240" w:lineRule="auto"/>
        <w:jc w:val="center"/>
        <w:rPr>
          <w:rFonts w:ascii="Times New Roman" w:hAnsi="Times New Roman" w:cs="Times New Roman"/>
          <w:sz w:val="18"/>
          <w:szCs w:val="18"/>
        </w:rPr>
      </w:pPr>
      <w:r w:rsidRPr="00C6117E">
        <w:rPr>
          <w:rFonts w:ascii="Times New Roman" w:hAnsi="Times New Roman" w:cs="Times New Roman"/>
          <w:sz w:val="18"/>
          <w:szCs w:val="18"/>
        </w:rPr>
        <w:t>Standard errors in parentheses</w:t>
      </w:r>
      <w:r w:rsidR="000B5256">
        <w:rPr>
          <w:rFonts w:ascii="Times New Roman" w:hAnsi="Times New Roman" w:cs="Times New Roman"/>
          <w:sz w:val="18"/>
          <w:szCs w:val="18"/>
        </w:rPr>
        <w:t xml:space="preserve">; </w:t>
      </w:r>
      <w:r w:rsidR="000B5256" w:rsidRPr="00C6117E">
        <w:rPr>
          <w:rFonts w:ascii="Times New Roman" w:hAnsi="Times New Roman" w:cs="Times New Roman"/>
          <w:sz w:val="18"/>
          <w:szCs w:val="18"/>
        </w:rPr>
        <w:t>*** p&lt;0.01, ** p&lt;0.05, * p&lt;0.1</w:t>
      </w:r>
    </w:p>
    <w:bookmarkEnd w:id="2"/>
    <w:p w14:paraId="5A547A89" w14:textId="75EDC3A4" w:rsidR="00350F0B" w:rsidRDefault="00350F0B" w:rsidP="00350F0B">
      <w:pPr>
        <w:keepNext/>
        <w:bidi w:val="0"/>
        <w:spacing w:after="0" w:line="240" w:lineRule="auto"/>
        <w:jc w:val="both"/>
        <w:outlineLvl w:val="0"/>
        <w:rPr>
          <w:rFonts w:ascii="Times New Roman" w:hAnsi="Times New Roman" w:cs="Times New Roman"/>
          <w:bCs/>
          <w:color w:val="000000"/>
          <w:sz w:val="18"/>
          <w:szCs w:val="18"/>
        </w:rPr>
      </w:pPr>
    </w:p>
    <w:p w14:paraId="2A252BBD" w14:textId="0E447E95" w:rsidR="00226F76" w:rsidRDefault="00226F76" w:rsidP="008D2D78">
      <w:pPr>
        <w:keepNext/>
        <w:bidi w:val="0"/>
        <w:spacing w:after="0" w:line="240" w:lineRule="auto"/>
        <w:jc w:val="both"/>
        <w:outlineLvl w:val="0"/>
        <w:rPr>
          <w:rFonts w:ascii="Times New Roman" w:hAnsi="Times New Roman" w:cs="Times New Roman"/>
          <w:bCs/>
          <w:color w:val="000000"/>
          <w:kern w:val="32"/>
          <w:sz w:val="18"/>
          <w:szCs w:val="18"/>
          <w:lang w:eastAsia="x-none"/>
        </w:rPr>
      </w:pPr>
      <w:proofErr w:type="spellStart"/>
      <w:r w:rsidRPr="00226F76">
        <w:rPr>
          <w:rFonts w:ascii="Times New Roman" w:hAnsi="Times New Roman" w:cs="Times New Roman"/>
          <w:bCs/>
          <w:color w:val="000000"/>
          <w:kern w:val="32"/>
          <w:sz w:val="18"/>
          <w:szCs w:val="18"/>
          <w:lang w:eastAsia="x-none"/>
        </w:rPr>
        <w:t>Hausman</w:t>
      </w:r>
      <w:r w:rsidR="00B45FA3">
        <w:rPr>
          <w:rFonts w:ascii="Times New Roman" w:hAnsi="Times New Roman" w:cs="Times New Roman"/>
          <w:bCs/>
          <w:color w:val="000000"/>
          <w:kern w:val="32"/>
          <w:sz w:val="18"/>
          <w:szCs w:val="18"/>
          <w:lang w:eastAsia="x-none"/>
        </w:rPr>
        <w:t>’</w:t>
      </w:r>
      <w:r w:rsidRPr="00226F76">
        <w:rPr>
          <w:rFonts w:ascii="Times New Roman" w:hAnsi="Times New Roman" w:cs="Times New Roman"/>
          <w:bCs/>
          <w:color w:val="000000"/>
          <w:kern w:val="32"/>
          <w:sz w:val="18"/>
          <w:szCs w:val="18"/>
          <w:lang w:eastAsia="x-none"/>
        </w:rPr>
        <w:t>s</w:t>
      </w:r>
      <w:proofErr w:type="spellEnd"/>
      <w:r w:rsidRPr="00226F76">
        <w:rPr>
          <w:rFonts w:ascii="Times New Roman" w:hAnsi="Times New Roman" w:cs="Times New Roman"/>
          <w:bCs/>
          <w:color w:val="000000"/>
          <w:kern w:val="32"/>
          <w:sz w:val="18"/>
          <w:szCs w:val="18"/>
          <w:lang w:eastAsia="x-none"/>
        </w:rPr>
        <w:t xml:space="preserve"> test was performed to ascertain whether the fixed or random effects panel regression model was more appropriate prior to estimating the regression models </w:t>
      </w:r>
      <w:r w:rsidR="008D2D78">
        <w:rPr>
          <w:rFonts w:ascii="Times New Roman" w:hAnsi="Times New Roman" w:cs="Times New Roman"/>
          <w:bCs/>
          <w:color w:val="000000"/>
          <w:kern w:val="32"/>
          <w:sz w:val="18"/>
          <w:szCs w:val="18"/>
          <w:lang w:eastAsia="x-none"/>
        </w:rPr>
        <w:t>[1]</w:t>
      </w:r>
      <w:r w:rsidRPr="00226F76">
        <w:rPr>
          <w:rFonts w:ascii="Times New Roman" w:hAnsi="Times New Roman" w:cs="Times New Roman"/>
          <w:bCs/>
          <w:color w:val="000000"/>
          <w:kern w:val="32"/>
          <w:sz w:val="18"/>
          <w:szCs w:val="18"/>
          <w:lang w:eastAsia="x-none"/>
        </w:rPr>
        <w:t xml:space="preserve">. The results of the </w:t>
      </w:r>
      <w:proofErr w:type="spellStart"/>
      <w:r w:rsidRPr="00226F76">
        <w:rPr>
          <w:rFonts w:ascii="Times New Roman" w:hAnsi="Times New Roman" w:cs="Times New Roman"/>
          <w:bCs/>
          <w:color w:val="000000"/>
          <w:kern w:val="32"/>
          <w:sz w:val="18"/>
          <w:szCs w:val="18"/>
          <w:lang w:eastAsia="x-none"/>
        </w:rPr>
        <w:t>Hausman</w:t>
      </w:r>
      <w:proofErr w:type="spellEnd"/>
      <w:r w:rsidRPr="00226F76">
        <w:rPr>
          <w:rFonts w:ascii="Times New Roman" w:hAnsi="Times New Roman" w:cs="Times New Roman"/>
          <w:bCs/>
          <w:color w:val="000000"/>
          <w:kern w:val="32"/>
          <w:sz w:val="18"/>
          <w:szCs w:val="18"/>
          <w:lang w:eastAsia="x-none"/>
        </w:rPr>
        <w:t xml:space="preserve"> test indicated a p-value of less than 0.05, indicating that the fixed effect model was more suitable for the analysis. T</w:t>
      </w:r>
      <w:r w:rsidR="00B45FA3">
        <w:rPr>
          <w:rFonts w:ascii="Times New Roman" w:hAnsi="Times New Roman" w:cs="Times New Roman"/>
          <w:bCs/>
          <w:color w:val="000000"/>
          <w:kern w:val="32"/>
          <w:sz w:val="18"/>
          <w:szCs w:val="18"/>
          <w:lang w:eastAsia="x-none"/>
        </w:rPr>
        <w:t>herefore, t</w:t>
      </w:r>
      <w:r w:rsidRPr="00226F76">
        <w:rPr>
          <w:rFonts w:ascii="Times New Roman" w:hAnsi="Times New Roman" w:cs="Times New Roman"/>
          <w:bCs/>
          <w:color w:val="000000"/>
          <w:kern w:val="32"/>
          <w:sz w:val="18"/>
          <w:szCs w:val="18"/>
          <w:lang w:eastAsia="x-none"/>
        </w:rPr>
        <w:t>he regression findings are presented in Table 6, where Model 1 employed Pooled OLS, Model 2 used the random effect model, and Model 3 utilized the fixed effect model.</w:t>
      </w:r>
    </w:p>
    <w:p w14:paraId="087D11E1" w14:textId="77777777" w:rsidR="00226F76" w:rsidRDefault="00226F76" w:rsidP="00226F76">
      <w:pPr>
        <w:keepNext/>
        <w:bidi w:val="0"/>
        <w:spacing w:after="0" w:line="240" w:lineRule="auto"/>
        <w:jc w:val="both"/>
        <w:outlineLvl w:val="0"/>
        <w:rPr>
          <w:rFonts w:ascii="Times New Roman" w:hAnsi="Times New Roman" w:cs="Times New Roman"/>
          <w:bCs/>
          <w:color w:val="000000"/>
          <w:kern w:val="32"/>
          <w:sz w:val="18"/>
          <w:szCs w:val="18"/>
          <w:lang w:eastAsia="x-none"/>
        </w:rPr>
      </w:pPr>
    </w:p>
    <w:p w14:paraId="0B010546" w14:textId="77777777" w:rsidR="00226F76" w:rsidRDefault="00226F76" w:rsidP="00226F76">
      <w:pPr>
        <w:keepNext/>
        <w:bidi w:val="0"/>
        <w:spacing w:after="0" w:line="240" w:lineRule="auto"/>
        <w:jc w:val="both"/>
        <w:outlineLvl w:val="0"/>
        <w:rPr>
          <w:rFonts w:ascii="Times New Roman" w:hAnsi="Times New Roman" w:cs="Times New Roman"/>
          <w:bCs/>
          <w:color w:val="000000"/>
          <w:kern w:val="32"/>
          <w:sz w:val="18"/>
          <w:szCs w:val="18"/>
          <w:lang w:eastAsia="x-none"/>
        </w:rPr>
      </w:pPr>
    </w:p>
    <w:p w14:paraId="6935C8A1" w14:textId="68E24AAC" w:rsidR="00226F76" w:rsidRPr="00226F76" w:rsidRDefault="00226F76" w:rsidP="00226F76">
      <w:pPr>
        <w:bidi w:val="0"/>
        <w:jc w:val="both"/>
        <w:rPr>
          <w:rFonts w:ascii="Times New Roman" w:hAnsi="Times New Roman" w:cs="Times New Roman"/>
          <w:bCs/>
          <w:color w:val="000000"/>
          <w:kern w:val="32"/>
          <w:sz w:val="18"/>
          <w:szCs w:val="18"/>
          <w:lang w:val="en-GB" w:eastAsia="x-none"/>
        </w:rPr>
      </w:pPr>
      <w:r w:rsidRPr="00226F76">
        <w:rPr>
          <w:rFonts w:ascii="Times New Roman" w:hAnsi="Times New Roman" w:cs="Times New Roman"/>
          <w:bCs/>
          <w:color w:val="000000"/>
          <w:kern w:val="32"/>
          <w:sz w:val="18"/>
          <w:szCs w:val="18"/>
          <w:lang w:val="en-GB" w:eastAsia="x-none"/>
        </w:rPr>
        <w:t xml:space="preserve">The regression analysis results presented in Table 6 reveal </w:t>
      </w:r>
      <w:r w:rsidR="00B45FA3">
        <w:rPr>
          <w:rFonts w:ascii="Times New Roman" w:hAnsi="Times New Roman" w:cs="Times New Roman"/>
          <w:bCs/>
          <w:color w:val="000000"/>
          <w:kern w:val="32"/>
          <w:sz w:val="18"/>
          <w:szCs w:val="18"/>
          <w:lang w:val="en-GB" w:eastAsia="x-none"/>
        </w:rPr>
        <w:t>essential</w:t>
      </w:r>
      <w:r w:rsidRPr="00226F76">
        <w:rPr>
          <w:rFonts w:ascii="Times New Roman" w:hAnsi="Times New Roman" w:cs="Times New Roman"/>
          <w:bCs/>
          <w:color w:val="000000"/>
          <w:kern w:val="32"/>
          <w:sz w:val="18"/>
          <w:szCs w:val="18"/>
          <w:lang w:val="en-GB" w:eastAsia="x-none"/>
        </w:rPr>
        <w:t xml:space="preserve"> insights into the relationship between board characteristics and voluntary disclosure (VD) practices among Palestinian firms listed on the Palestine Exchange (PEX) </w:t>
      </w:r>
      <w:r w:rsidR="00B45FA3">
        <w:rPr>
          <w:rFonts w:ascii="Times New Roman" w:hAnsi="Times New Roman" w:cs="Times New Roman"/>
          <w:bCs/>
          <w:color w:val="000000"/>
          <w:kern w:val="32"/>
          <w:sz w:val="18"/>
          <w:szCs w:val="18"/>
          <w:lang w:val="en-GB" w:eastAsia="x-none"/>
        </w:rPr>
        <w:t>from</w:t>
      </w:r>
      <w:r w:rsidRPr="00226F76">
        <w:rPr>
          <w:rFonts w:ascii="Times New Roman" w:hAnsi="Times New Roman" w:cs="Times New Roman"/>
          <w:bCs/>
          <w:color w:val="000000"/>
          <w:kern w:val="32"/>
          <w:sz w:val="18"/>
          <w:szCs w:val="18"/>
          <w:lang w:val="en-GB" w:eastAsia="x-none"/>
        </w:rPr>
        <w:t xml:space="preserve"> 2013-2017. T</w:t>
      </w:r>
      <w:r w:rsidR="00B45FA3">
        <w:rPr>
          <w:rFonts w:ascii="Times New Roman" w:hAnsi="Times New Roman" w:cs="Times New Roman"/>
          <w:bCs/>
          <w:color w:val="000000"/>
          <w:kern w:val="32"/>
          <w:sz w:val="18"/>
          <w:szCs w:val="18"/>
          <w:lang w:val="en-GB" w:eastAsia="x-none"/>
        </w:rPr>
        <w:t>herefore, t</w:t>
      </w:r>
      <w:r w:rsidRPr="00226F76">
        <w:rPr>
          <w:rFonts w:ascii="Times New Roman" w:hAnsi="Times New Roman" w:cs="Times New Roman"/>
          <w:bCs/>
          <w:color w:val="000000"/>
          <w:kern w:val="32"/>
          <w:sz w:val="18"/>
          <w:szCs w:val="18"/>
          <w:lang w:val="en-GB" w:eastAsia="x-none"/>
        </w:rPr>
        <w:t xml:space="preserve">he fixed effect model was the most suitable for the analysis based on the results of </w:t>
      </w:r>
      <w:proofErr w:type="spellStart"/>
      <w:r w:rsidRPr="00226F76">
        <w:rPr>
          <w:rFonts w:ascii="Times New Roman" w:hAnsi="Times New Roman" w:cs="Times New Roman"/>
          <w:bCs/>
          <w:color w:val="000000"/>
          <w:kern w:val="32"/>
          <w:sz w:val="18"/>
          <w:szCs w:val="18"/>
          <w:lang w:val="en-GB" w:eastAsia="x-none"/>
        </w:rPr>
        <w:t>Hausman</w:t>
      </w:r>
      <w:r w:rsidR="00B45FA3">
        <w:rPr>
          <w:rFonts w:ascii="Times New Roman" w:hAnsi="Times New Roman" w:cs="Times New Roman"/>
          <w:bCs/>
          <w:color w:val="000000"/>
          <w:kern w:val="32"/>
          <w:sz w:val="18"/>
          <w:szCs w:val="18"/>
          <w:lang w:val="en-GB" w:eastAsia="x-none"/>
        </w:rPr>
        <w:t>’</w:t>
      </w:r>
      <w:r w:rsidRPr="00226F76">
        <w:rPr>
          <w:rFonts w:ascii="Times New Roman" w:hAnsi="Times New Roman" w:cs="Times New Roman"/>
          <w:bCs/>
          <w:color w:val="000000"/>
          <w:kern w:val="32"/>
          <w:sz w:val="18"/>
          <w:szCs w:val="18"/>
          <w:lang w:val="en-GB" w:eastAsia="x-none"/>
        </w:rPr>
        <w:t>s</w:t>
      </w:r>
      <w:proofErr w:type="spellEnd"/>
      <w:r w:rsidRPr="00226F76">
        <w:rPr>
          <w:rFonts w:ascii="Times New Roman" w:hAnsi="Times New Roman" w:cs="Times New Roman"/>
          <w:bCs/>
          <w:color w:val="000000"/>
          <w:kern w:val="32"/>
          <w:sz w:val="18"/>
          <w:szCs w:val="18"/>
          <w:lang w:val="en-GB" w:eastAsia="x-none"/>
        </w:rPr>
        <w:t xml:space="preserve"> test.</w:t>
      </w:r>
    </w:p>
    <w:p w14:paraId="58789817" w14:textId="3B10D3C4" w:rsidR="00B45FA3" w:rsidRDefault="00226F76" w:rsidP="00016EC9">
      <w:pPr>
        <w:bidi w:val="0"/>
        <w:jc w:val="both"/>
        <w:rPr>
          <w:rFonts w:ascii="Times New Roman" w:hAnsi="Times New Roman" w:cs="Times New Roman"/>
          <w:bCs/>
          <w:color w:val="000000"/>
          <w:kern w:val="32"/>
          <w:sz w:val="18"/>
          <w:szCs w:val="18"/>
          <w:lang w:eastAsia="x-none"/>
        </w:rPr>
      </w:pPr>
      <w:r w:rsidRPr="00226F76">
        <w:rPr>
          <w:rFonts w:ascii="Times New Roman" w:hAnsi="Times New Roman" w:cs="Times New Roman"/>
          <w:bCs/>
          <w:color w:val="000000"/>
          <w:kern w:val="32"/>
          <w:sz w:val="18"/>
          <w:szCs w:val="18"/>
          <w:lang w:val="en-GB" w:eastAsia="x-none"/>
        </w:rPr>
        <w:t xml:space="preserve">The first hypothesis posited that board size is positively related to the level of voluntary disclosure. The results support this hypothesis, as a significant positive relationship between board size and the level of voluntary disclosure was found (β = 0.094, p &lt; 0.01). This indicates that companies with larger boards disclose more voluntary information. This finding is consistent with previous studies </w:t>
      </w:r>
      <w:r w:rsidR="00016EC9">
        <w:rPr>
          <w:rFonts w:ascii="Times New Roman" w:hAnsi="Times New Roman" w:cs="Times New Roman"/>
          <w:bCs/>
          <w:color w:val="000000"/>
          <w:kern w:val="32"/>
          <w:sz w:val="18"/>
          <w:szCs w:val="18"/>
          <w:lang w:val="en-GB" w:eastAsia="x-none"/>
        </w:rPr>
        <w:t>[18,</w:t>
      </w:r>
      <w:r w:rsidR="000E7D6A">
        <w:rPr>
          <w:rFonts w:ascii="Times New Roman" w:hAnsi="Times New Roman" w:cs="Times New Roman"/>
          <w:bCs/>
          <w:color w:val="000000"/>
          <w:kern w:val="32"/>
          <w:sz w:val="18"/>
          <w:szCs w:val="18"/>
          <w:lang w:val="en-GB" w:eastAsia="x-none"/>
        </w:rPr>
        <w:t>25</w:t>
      </w:r>
      <w:r w:rsidR="00016EC9">
        <w:rPr>
          <w:rFonts w:ascii="Times New Roman" w:hAnsi="Times New Roman" w:cs="Times New Roman"/>
          <w:bCs/>
          <w:color w:val="000000"/>
          <w:kern w:val="32"/>
          <w:sz w:val="18"/>
          <w:szCs w:val="18"/>
          <w:lang w:val="en-GB" w:eastAsia="x-none"/>
        </w:rPr>
        <w:t>,29</w:t>
      </w:r>
      <w:r w:rsidR="00E537E5">
        <w:rPr>
          <w:rFonts w:ascii="Times New Roman" w:hAnsi="Times New Roman" w:cs="Times New Roman"/>
          <w:bCs/>
          <w:color w:val="000000"/>
          <w:kern w:val="32"/>
          <w:sz w:val="18"/>
          <w:szCs w:val="18"/>
          <w:lang w:val="en-GB" w:eastAsia="x-none" w:bidi="ar-JO"/>
        </w:rPr>
        <w:t>,57</w:t>
      </w:r>
      <w:r w:rsidR="006E4F16">
        <w:rPr>
          <w:rFonts w:ascii="Times New Roman" w:hAnsi="Times New Roman" w:cs="Times New Roman"/>
          <w:bCs/>
          <w:color w:val="000000"/>
          <w:kern w:val="32"/>
          <w:sz w:val="18"/>
          <w:szCs w:val="18"/>
          <w:lang w:val="en-GB" w:eastAsia="x-none"/>
        </w:rPr>
        <w:t>]</w:t>
      </w:r>
      <w:r w:rsidRPr="00226F76">
        <w:rPr>
          <w:rFonts w:ascii="Times New Roman" w:hAnsi="Times New Roman" w:cs="Times New Roman"/>
          <w:bCs/>
          <w:color w:val="000000"/>
          <w:kern w:val="32"/>
          <w:sz w:val="18"/>
          <w:szCs w:val="18"/>
          <w:lang w:val="en-GB" w:eastAsia="x-none"/>
        </w:rPr>
        <w:t xml:space="preserve">, which have shown a positive relationship between board size and the level of voluntary disclosure. </w:t>
      </w:r>
      <w:r w:rsidRPr="00226F76">
        <w:rPr>
          <w:rFonts w:ascii="Times New Roman" w:hAnsi="Times New Roman" w:cs="Times New Roman"/>
          <w:bCs/>
          <w:color w:val="000000"/>
          <w:kern w:val="32"/>
          <w:sz w:val="18"/>
          <w:szCs w:val="18"/>
          <w:lang w:eastAsia="x-none"/>
        </w:rPr>
        <w:t xml:space="preserve">One possible explanation for the positive relationship between board size and voluntary disclosure is that a larger board provides more diverse perspectives and experiences, which can contribute to </w:t>
      </w:r>
      <w:r w:rsidR="00B45FA3">
        <w:rPr>
          <w:rFonts w:ascii="Times New Roman" w:hAnsi="Times New Roman" w:cs="Times New Roman"/>
          <w:bCs/>
          <w:color w:val="000000"/>
          <w:kern w:val="32"/>
          <w:sz w:val="18"/>
          <w:szCs w:val="18"/>
          <w:lang w:eastAsia="x-none"/>
        </w:rPr>
        <w:t>developing and implementing</w:t>
      </w:r>
      <w:r w:rsidRPr="00226F76">
        <w:rPr>
          <w:rFonts w:ascii="Times New Roman" w:hAnsi="Times New Roman" w:cs="Times New Roman"/>
          <w:bCs/>
          <w:color w:val="000000"/>
          <w:kern w:val="32"/>
          <w:sz w:val="18"/>
          <w:szCs w:val="18"/>
          <w:lang w:eastAsia="x-none"/>
        </w:rPr>
        <w:t xml:space="preserve"> effective disclosure practices. This diversity can increase the level of scrutiny applied to decision-making processes, which can promote accountability and transparency.</w:t>
      </w:r>
    </w:p>
    <w:p w14:paraId="2425B4D1" w14:textId="0D8A0106" w:rsidR="00226F76" w:rsidRDefault="00226F76" w:rsidP="00226F76">
      <w:pPr>
        <w:bidi w:val="0"/>
        <w:jc w:val="both"/>
        <w:rPr>
          <w:rFonts w:ascii="Times New Roman" w:hAnsi="Times New Roman" w:cs="Times New Roman"/>
          <w:bCs/>
          <w:color w:val="000000"/>
          <w:kern w:val="32"/>
          <w:sz w:val="18"/>
          <w:szCs w:val="18"/>
          <w:lang w:eastAsia="x-none"/>
        </w:rPr>
      </w:pPr>
      <w:r w:rsidRPr="00226F76">
        <w:rPr>
          <w:rFonts w:ascii="Times New Roman" w:hAnsi="Times New Roman" w:cs="Times New Roman"/>
          <w:bCs/>
          <w:color w:val="000000"/>
          <w:kern w:val="32"/>
          <w:sz w:val="18"/>
          <w:szCs w:val="18"/>
          <w:lang w:eastAsia="x-none"/>
        </w:rPr>
        <w:t xml:space="preserve">Additionally, a larger board can provide more resources for monitoring and oversight, which can help ensure that the company is operating </w:t>
      </w:r>
      <w:r w:rsidR="00B45FA3">
        <w:rPr>
          <w:rFonts w:ascii="Times New Roman" w:hAnsi="Times New Roman" w:cs="Times New Roman"/>
          <w:bCs/>
          <w:color w:val="000000"/>
          <w:kern w:val="32"/>
          <w:sz w:val="18"/>
          <w:szCs w:val="18"/>
          <w:lang w:eastAsia="x-none"/>
        </w:rPr>
        <w:t>ethically and socially responsibly</w:t>
      </w:r>
      <w:r w:rsidRPr="00226F76">
        <w:rPr>
          <w:rFonts w:ascii="Times New Roman" w:hAnsi="Times New Roman" w:cs="Times New Roman"/>
          <w:bCs/>
          <w:color w:val="000000"/>
          <w:kern w:val="32"/>
          <w:sz w:val="18"/>
          <w:szCs w:val="18"/>
          <w:lang w:eastAsia="x-none"/>
        </w:rPr>
        <w:t xml:space="preserve">. Companies with larger boards may also be more likely to prioritize stakeholder interests, as they may have a broader range of perspectives and interests represented at the board level. </w:t>
      </w:r>
      <w:r w:rsidR="00B45FA3">
        <w:rPr>
          <w:rFonts w:ascii="Times New Roman" w:hAnsi="Times New Roman" w:cs="Times New Roman"/>
          <w:bCs/>
          <w:color w:val="000000"/>
          <w:kern w:val="32"/>
          <w:sz w:val="18"/>
          <w:szCs w:val="18"/>
          <w:lang w:eastAsia="x-none"/>
        </w:rPr>
        <w:t>Finally, a</w:t>
      </w:r>
      <w:r w:rsidRPr="00226F76">
        <w:rPr>
          <w:rFonts w:ascii="Times New Roman" w:hAnsi="Times New Roman" w:cs="Times New Roman"/>
          <w:bCs/>
          <w:color w:val="000000"/>
          <w:kern w:val="32"/>
          <w:sz w:val="18"/>
          <w:szCs w:val="18"/>
          <w:lang w:eastAsia="x-none"/>
        </w:rPr>
        <w:t xml:space="preserve"> larger board may lead to a more comprehensive and meaningful approach to voluntary disclosure.</w:t>
      </w:r>
    </w:p>
    <w:p w14:paraId="00F2CF3D" w14:textId="7373BEB9" w:rsidR="00226F76" w:rsidRPr="00226F76" w:rsidRDefault="00226F76" w:rsidP="000C3AD0">
      <w:pPr>
        <w:bidi w:val="0"/>
        <w:jc w:val="both"/>
        <w:rPr>
          <w:rFonts w:ascii="Times New Roman" w:hAnsi="Times New Roman" w:cs="Times New Roman"/>
          <w:bCs/>
          <w:color w:val="000000"/>
          <w:kern w:val="32"/>
          <w:sz w:val="18"/>
          <w:szCs w:val="18"/>
          <w:lang w:val="en-GB" w:eastAsia="x-none"/>
        </w:rPr>
      </w:pPr>
      <w:r w:rsidRPr="00226F76">
        <w:rPr>
          <w:rFonts w:ascii="Times New Roman" w:hAnsi="Times New Roman" w:cs="Times New Roman"/>
          <w:bCs/>
          <w:color w:val="000000"/>
          <w:kern w:val="32"/>
          <w:sz w:val="18"/>
          <w:szCs w:val="18"/>
          <w:lang w:val="en-GB" w:eastAsia="x-none"/>
        </w:rPr>
        <w:t>The second hypothesis tested whether board independence is positively related to the level of voluntary disclosure. The re</w:t>
      </w:r>
      <w:r w:rsidR="00B45FA3">
        <w:rPr>
          <w:rFonts w:ascii="Times New Roman" w:hAnsi="Times New Roman" w:cs="Times New Roman"/>
          <w:bCs/>
          <w:color w:val="000000"/>
          <w:kern w:val="32"/>
          <w:sz w:val="18"/>
          <w:szCs w:val="18"/>
          <w:lang w:val="en-GB" w:eastAsia="x-none"/>
        </w:rPr>
        <w:t>gression analysis result</w:t>
      </w:r>
      <w:r w:rsidRPr="00226F76">
        <w:rPr>
          <w:rFonts w:ascii="Times New Roman" w:hAnsi="Times New Roman" w:cs="Times New Roman"/>
          <w:bCs/>
          <w:color w:val="000000"/>
          <w:kern w:val="32"/>
          <w:sz w:val="18"/>
          <w:szCs w:val="18"/>
          <w:lang w:val="en-GB" w:eastAsia="x-none"/>
        </w:rPr>
        <w:t xml:space="preserve">s indicate an insignificant relationship between board independence and the level of voluntary disclosure (β = 0.129, p &gt; 0.05). Therefore, this hypothesis is rejected. This result is consistent with previous research </w:t>
      </w:r>
      <w:r w:rsidR="006E4F16">
        <w:rPr>
          <w:rFonts w:ascii="Times New Roman" w:hAnsi="Times New Roman" w:cs="Times New Roman"/>
          <w:bCs/>
          <w:color w:val="000000"/>
          <w:kern w:val="32"/>
          <w:sz w:val="18"/>
          <w:szCs w:val="18"/>
          <w:lang w:val="en-GB" w:eastAsia="x-none"/>
        </w:rPr>
        <w:t>[20</w:t>
      </w:r>
      <w:r w:rsidRPr="00226F76">
        <w:rPr>
          <w:rFonts w:ascii="Times New Roman" w:hAnsi="Times New Roman" w:cs="Times New Roman"/>
          <w:bCs/>
          <w:color w:val="000000"/>
          <w:kern w:val="32"/>
          <w:sz w:val="18"/>
          <w:szCs w:val="18"/>
          <w:lang w:val="en-GB" w:eastAsia="x-none"/>
        </w:rPr>
        <w:t>,</w:t>
      </w:r>
      <w:r w:rsidR="000C3AD0">
        <w:rPr>
          <w:rFonts w:ascii="Times New Roman" w:hAnsi="Times New Roman" w:cs="Times New Roman"/>
          <w:bCs/>
          <w:color w:val="000000"/>
          <w:kern w:val="32"/>
          <w:sz w:val="18"/>
          <w:szCs w:val="18"/>
          <w:lang w:val="en-GB" w:eastAsia="x-none"/>
        </w:rPr>
        <w:t>49</w:t>
      </w:r>
      <w:r w:rsidR="00681440">
        <w:rPr>
          <w:rFonts w:ascii="Times New Roman" w:hAnsi="Times New Roman" w:cs="Times New Roman"/>
          <w:bCs/>
          <w:color w:val="000000"/>
          <w:kern w:val="32"/>
          <w:sz w:val="18"/>
          <w:szCs w:val="18"/>
          <w:lang w:val="en-GB" w:eastAsia="x-none"/>
        </w:rPr>
        <w:t>,5</w:t>
      </w:r>
      <w:r w:rsidR="00E537E5">
        <w:rPr>
          <w:rFonts w:ascii="Times New Roman" w:hAnsi="Times New Roman" w:cs="Times New Roman"/>
          <w:bCs/>
          <w:color w:val="000000"/>
          <w:kern w:val="32"/>
          <w:sz w:val="18"/>
          <w:szCs w:val="18"/>
          <w:lang w:val="en-GB" w:eastAsia="x-none"/>
        </w:rPr>
        <w:t>8</w:t>
      </w:r>
      <w:r w:rsidR="006E4F16">
        <w:rPr>
          <w:rFonts w:ascii="Times New Roman" w:hAnsi="Times New Roman" w:cs="Times New Roman"/>
          <w:bCs/>
          <w:color w:val="000000"/>
          <w:kern w:val="32"/>
          <w:sz w:val="18"/>
          <w:szCs w:val="18"/>
          <w:lang w:val="en-GB" w:eastAsia="x-none"/>
        </w:rPr>
        <w:t>]</w:t>
      </w:r>
      <w:r w:rsidRPr="00226F76">
        <w:rPr>
          <w:rFonts w:ascii="Times New Roman" w:hAnsi="Times New Roman" w:cs="Times New Roman"/>
          <w:bCs/>
          <w:color w:val="000000"/>
          <w:kern w:val="32"/>
          <w:sz w:val="18"/>
          <w:szCs w:val="18"/>
          <w:lang w:val="en-GB" w:eastAsia="x-none"/>
        </w:rPr>
        <w:t>, which have shown that non-executive directors in Palestinian firms are not truly independent and may have strong famil</w:t>
      </w:r>
      <w:r w:rsidR="00B45FA3">
        <w:rPr>
          <w:rFonts w:ascii="Times New Roman" w:hAnsi="Times New Roman" w:cs="Times New Roman"/>
          <w:bCs/>
          <w:color w:val="000000"/>
          <w:kern w:val="32"/>
          <w:sz w:val="18"/>
          <w:szCs w:val="18"/>
          <w:lang w:val="en-GB" w:eastAsia="x-none"/>
        </w:rPr>
        <w:t>ies</w:t>
      </w:r>
      <w:r w:rsidRPr="00226F76">
        <w:rPr>
          <w:rFonts w:ascii="Times New Roman" w:hAnsi="Times New Roman" w:cs="Times New Roman"/>
          <w:bCs/>
          <w:color w:val="000000"/>
          <w:kern w:val="32"/>
          <w:sz w:val="18"/>
          <w:szCs w:val="18"/>
          <w:lang w:val="en-GB" w:eastAsia="x-none"/>
        </w:rPr>
        <w:t>, business, or friend</w:t>
      </w:r>
      <w:r w:rsidR="00B45FA3">
        <w:rPr>
          <w:rFonts w:ascii="Times New Roman" w:hAnsi="Times New Roman" w:cs="Times New Roman"/>
          <w:bCs/>
          <w:color w:val="000000"/>
          <w:kern w:val="32"/>
          <w:sz w:val="18"/>
          <w:szCs w:val="18"/>
          <w:lang w:val="en-GB" w:eastAsia="x-none"/>
        </w:rPr>
        <w:t>ly</w:t>
      </w:r>
      <w:r w:rsidRPr="00226F76">
        <w:rPr>
          <w:rFonts w:ascii="Times New Roman" w:hAnsi="Times New Roman" w:cs="Times New Roman"/>
          <w:bCs/>
          <w:color w:val="000000"/>
          <w:kern w:val="32"/>
          <w:sz w:val="18"/>
          <w:szCs w:val="18"/>
          <w:lang w:val="en-GB" w:eastAsia="x-none"/>
        </w:rPr>
        <w:t xml:space="preserve"> relations with executive directors, which influence their independence and weaken their monitoring role.</w:t>
      </w:r>
    </w:p>
    <w:p w14:paraId="355BD652" w14:textId="5A4CCAA0" w:rsidR="00226F76" w:rsidRPr="00226F76" w:rsidRDefault="00226F76" w:rsidP="007C05E7">
      <w:pPr>
        <w:bidi w:val="0"/>
        <w:jc w:val="both"/>
        <w:rPr>
          <w:rFonts w:ascii="Times New Roman" w:hAnsi="Times New Roman" w:cs="Times New Roman"/>
          <w:bCs/>
          <w:color w:val="000000"/>
          <w:kern w:val="32"/>
          <w:sz w:val="18"/>
          <w:szCs w:val="18"/>
          <w:lang w:val="en-GB" w:eastAsia="x-none"/>
        </w:rPr>
      </w:pPr>
      <w:r w:rsidRPr="00226F76">
        <w:rPr>
          <w:rFonts w:ascii="Times New Roman" w:hAnsi="Times New Roman" w:cs="Times New Roman"/>
          <w:bCs/>
          <w:color w:val="000000"/>
          <w:kern w:val="32"/>
          <w:sz w:val="18"/>
          <w:szCs w:val="18"/>
          <w:lang w:val="en-GB" w:eastAsia="x-none"/>
        </w:rPr>
        <w:t xml:space="preserve">The </w:t>
      </w:r>
      <w:r w:rsidR="00B45FA3">
        <w:rPr>
          <w:rFonts w:ascii="Times New Roman" w:hAnsi="Times New Roman" w:cs="Times New Roman"/>
          <w:bCs/>
          <w:color w:val="000000"/>
          <w:kern w:val="32"/>
          <w:sz w:val="18"/>
          <w:szCs w:val="18"/>
          <w:lang w:val="en-GB" w:eastAsia="x-none"/>
        </w:rPr>
        <w:t>third hypothesis aimed</w:t>
      </w:r>
      <w:r w:rsidRPr="00226F76">
        <w:rPr>
          <w:rFonts w:ascii="Times New Roman" w:hAnsi="Times New Roman" w:cs="Times New Roman"/>
          <w:bCs/>
          <w:color w:val="000000"/>
          <w:kern w:val="32"/>
          <w:sz w:val="18"/>
          <w:szCs w:val="18"/>
          <w:lang w:val="en-GB" w:eastAsia="x-none"/>
        </w:rPr>
        <w:t xml:space="preserve"> to determine whether there is a positive relationship between board gender diversity and the level of voluntary disclosure. However, the </w:t>
      </w:r>
      <w:r w:rsidR="00B45FA3">
        <w:rPr>
          <w:rFonts w:ascii="Times New Roman" w:hAnsi="Times New Roman" w:cs="Times New Roman"/>
          <w:bCs/>
          <w:color w:val="000000"/>
          <w:kern w:val="32"/>
          <w:sz w:val="18"/>
          <w:szCs w:val="18"/>
          <w:lang w:val="en-GB" w:eastAsia="x-none"/>
        </w:rPr>
        <w:t>study’s results</w:t>
      </w:r>
      <w:r w:rsidRPr="00226F76">
        <w:rPr>
          <w:rFonts w:ascii="Times New Roman" w:hAnsi="Times New Roman" w:cs="Times New Roman"/>
          <w:bCs/>
          <w:color w:val="000000"/>
          <w:kern w:val="32"/>
          <w:sz w:val="18"/>
          <w:szCs w:val="18"/>
          <w:lang w:val="en-GB" w:eastAsia="x-none"/>
        </w:rPr>
        <w:t xml:space="preserve"> revealed a significant negative relationship between the two variables (β = -0.269, p &lt; 0.01), leading to the rejection of this hypothesis. This unexpected finding raises questions about why board gender diversity could negatively impact voluntary disclosure practices, and more research is required to explore this relationship further. One potential explanation is that female directors may lack sufficient influence or power to shape the board</w:t>
      </w:r>
      <w:r w:rsidR="00B45FA3">
        <w:rPr>
          <w:rFonts w:ascii="Times New Roman" w:hAnsi="Times New Roman" w:cs="Times New Roman"/>
          <w:bCs/>
          <w:color w:val="000000"/>
          <w:kern w:val="32"/>
          <w:sz w:val="18"/>
          <w:szCs w:val="18"/>
          <w:lang w:val="en-GB" w:eastAsia="x-none"/>
        </w:rPr>
        <w:t>’</w:t>
      </w:r>
      <w:r w:rsidRPr="00226F76">
        <w:rPr>
          <w:rFonts w:ascii="Times New Roman" w:hAnsi="Times New Roman" w:cs="Times New Roman"/>
          <w:bCs/>
          <w:color w:val="000000"/>
          <w:kern w:val="32"/>
          <w:sz w:val="18"/>
          <w:szCs w:val="18"/>
          <w:lang w:val="en-GB" w:eastAsia="x-none"/>
        </w:rPr>
        <w:t xml:space="preserve">s strategic direction, </w:t>
      </w:r>
      <w:r w:rsidR="00B45FA3">
        <w:rPr>
          <w:rFonts w:ascii="Times New Roman" w:hAnsi="Times New Roman" w:cs="Times New Roman"/>
          <w:bCs/>
          <w:color w:val="000000"/>
          <w:kern w:val="32"/>
          <w:sz w:val="18"/>
          <w:szCs w:val="18"/>
          <w:lang w:val="en-GB" w:eastAsia="x-none"/>
        </w:rPr>
        <w:t>hindering</w:t>
      </w:r>
      <w:r w:rsidRPr="00226F76">
        <w:rPr>
          <w:rFonts w:ascii="Times New Roman" w:hAnsi="Times New Roman" w:cs="Times New Roman"/>
          <w:bCs/>
          <w:color w:val="000000"/>
          <w:kern w:val="32"/>
          <w:sz w:val="18"/>
          <w:szCs w:val="18"/>
          <w:lang w:val="en-GB" w:eastAsia="x-none"/>
        </w:rPr>
        <w:t xml:space="preserve"> their ability to advocate for voluntary disclosure initiatives. This result is consistent with previous studies that have found a negative association between board gender diversity and corporate disclosure </w:t>
      </w:r>
      <w:r w:rsidR="00775AA2">
        <w:rPr>
          <w:rFonts w:ascii="Times New Roman" w:hAnsi="Times New Roman" w:cs="Times New Roman"/>
          <w:bCs/>
          <w:color w:val="000000"/>
          <w:kern w:val="32"/>
          <w:sz w:val="18"/>
          <w:szCs w:val="18"/>
          <w:lang w:eastAsia="x-none"/>
        </w:rPr>
        <w:t>[</w:t>
      </w:r>
      <w:r w:rsidR="007C05E7">
        <w:rPr>
          <w:rFonts w:ascii="Times New Roman" w:hAnsi="Times New Roman" w:cs="Times New Roman"/>
          <w:bCs/>
          <w:color w:val="000000"/>
          <w:kern w:val="32"/>
          <w:sz w:val="18"/>
          <w:szCs w:val="18"/>
          <w:lang w:eastAsia="x-none"/>
        </w:rPr>
        <w:t>47</w:t>
      </w:r>
      <w:r w:rsidR="00775AA2">
        <w:rPr>
          <w:rFonts w:ascii="Times New Roman" w:hAnsi="Times New Roman" w:cs="Times New Roman"/>
          <w:bCs/>
          <w:color w:val="000000"/>
          <w:kern w:val="32"/>
          <w:sz w:val="18"/>
          <w:szCs w:val="18"/>
          <w:lang w:eastAsia="x-none"/>
        </w:rPr>
        <w:t>,5</w:t>
      </w:r>
      <w:r w:rsidR="00E537E5">
        <w:rPr>
          <w:rFonts w:ascii="Times New Roman" w:hAnsi="Times New Roman" w:cs="Times New Roman"/>
          <w:bCs/>
          <w:color w:val="000000"/>
          <w:kern w:val="32"/>
          <w:sz w:val="18"/>
          <w:szCs w:val="18"/>
          <w:lang w:eastAsia="x-none"/>
        </w:rPr>
        <w:t>9</w:t>
      </w:r>
      <w:r w:rsidR="00775AA2">
        <w:rPr>
          <w:rFonts w:ascii="Times New Roman" w:hAnsi="Times New Roman" w:cs="Times New Roman"/>
          <w:bCs/>
          <w:color w:val="000000"/>
          <w:kern w:val="32"/>
          <w:sz w:val="18"/>
          <w:szCs w:val="18"/>
          <w:lang w:eastAsia="x-none"/>
        </w:rPr>
        <w:t>,</w:t>
      </w:r>
      <w:r w:rsidR="00E537E5">
        <w:rPr>
          <w:rFonts w:ascii="Times New Roman" w:hAnsi="Times New Roman" w:cs="Times New Roman"/>
          <w:bCs/>
          <w:color w:val="000000"/>
          <w:kern w:val="32"/>
          <w:sz w:val="18"/>
          <w:szCs w:val="18"/>
          <w:lang w:eastAsia="x-none"/>
        </w:rPr>
        <w:t>60</w:t>
      </w:r>
      <w:r w:rsidR="00775AA2">
        <w:rPr>
          <w:rFonts w:ascii="Times New Roman" w:hAnsi="Times New Roman" w:cs="Times New Roman"/>
          <w:bCs/>
          <w:color w:val="000000"/>
          <w:kern w:val="32"/>
          <w:sz w:val="18"/>
          <w:szCs w:val="18"/>
          <w:lang w:eastAsia="x-none"/>
        </w:rPr>
        <w:t>]</w:t>
      </w:r>
      <w:r w:rsidR="00226A0F" w:rsidRPr="00226A0F">
        <w:rPr>
          <w:rFonts w:ascii="Times New Roman" w:hAnsi="Times New Roman" w:cs="Times New Roman"/>
          <w:bCs/>
          <w:color w:val="000000"/>
          <w:kern w:val="32"/>
          <w:sz w:val="18"/>
          <w:szCs w:val="18"/>
          <w:lang w:eastAsia="x-none"/>
        </w:rPr>
        <w:t xml:space="preserve">. For instance, </w:t>
      </w:r>
      <w:r w:rsidR="007C05E7">
        <w:rPr>
          <w:rFonts w:ascii="Times New Roman" w:hAnsi="Times New Roman" w:cs="Times New Roman"/>
          <w:bCs/>
          <w:color w:val="000000"/>
          <w:kern w:val="32"/>
          <w:sz w:val="18"/>
          <w:szCs w:val="18"/>
          <w:lang w:eastAsia="x-none"/>
        </w:rPr>
        <w:t>[47]</w:t>
      </w:r>
      <w:r w:rsidR="00226A0F" w:rsidRPr="00226A0F">
        <w:rPr>
          <w:rFonts w:ascii="Times New Roman" w:hAnsi="Times New Roman" w:cs="Times New Roman"/>
          <w:bCs/>
          <w:color w:val="000000"/>
          <w:kern w:val="32"/>
          <w:sz w:val="18"/>
          <w:szCs w:val="18"/>
          <w:lang w:eastAsia="x-none"/>
        </w:rPr>
        <w:t xml:space="preserve"> suggest that the representation of women on boards in Pakistan is minimal. Meanwhile, </w:t>
      </w:r>
      <w:r w:rsidR="00775AA2">
        <w:rPr>
          <w:rFonts w:ascii="Times New Roman" w:hAnsi="Times New Roman" w:cs="Times New Roman"/>
          <w:bCs/>
          <w:color w:val="000000"/>
          <w:kern w:val="32"/>
          <w:sz w:val="18"/>
          <w:szCs w:val="18"/>
          <w:lang w:eastAsia="x-none"/>
        </w:rPr>
        <w:t>according to [</w:t>
      </w:r>
      <w:r w:rsidR="00E537E5">
        <w:rPr>
          <w:rFonts w:ascii="Times New Roman" w:hAnsi="Times New Roman" w:cs="Times New Roman"/>
          <w:bCs/>
          <w:color w:val="000000"/>
          <w:kern w:val="32"/>
          <w:sz w:val="18"/>
          <w:szCs w:val="18"/>
          <w:lang w:eastAsia="x-none"/>
        </w:rPr>
        <w:t>60</w:t>
      </w:r>
      <w:r w:rsidR="00775AA2">
        <w:rPr>
          <w:rFonts w:ascii="Times New Roman" w:hAnsi="Times New Roman" w:cs="Times New Roman"/>
          <w:bCs/>
          <w:color w:val="000000"/>
          <w:kern w:val="32"/>
          <w:sz w:val="18"/>
          <w:szCs w:val="18"/>
          <w:lang w:eastAsia="x-none"/>
        </w:rPr>
        <w:t xml:space="preserve">], </w:t>
      </w:r>
      <w:r w:rsidR="00226A0F" w:rsidRPr="00226A0F">
        <w:rPr>
          <w:rFonts w:ascii="Times New Roman" w:hAnsi="Times New Roman" w:cs="Times New Roman"/>
          <w:bCs/>
          <w:color w:val="000000"/>
          <w:kern w:val="32"/>
          <w:sz w:val="18"/>
          <w:szCs w:val="18"/>
          <w:lang w:eastAsia="x-none"/>
        </w:rPr>
        <w:t>female directors lack the necessary education and experience to promote CSR reporting practices. Furthermore, in Bangladesh, where most firms are family-owned, there is a negative correlation between the presence of female directors in family businesses and CSRD.</w:t>
      </w:r>
    </w:p>
    <w:p w14:paraId="1F39C95B" w14:textId="27C4E837" w:rsidR="00226F76" w:rsidRPr="00226F76" w:rsidRDefault="00226F76" w:rsidP="008D2D78">
      <w:pPr>
        <w:bidi w:val="0"/>
        <w:jc w:val="both"/>
        <w:rPr>
          <w:rFonts w:ascii="Times New Roman" w:hAnsi="Times New Roman" w:cs="Times New Roman"/>
          <w:bCs/>
          <w:color w:val="000000"/>
          <w:kern w:val="32"/>
          <w:sz w:val="18"/>
          <w:szCs w:val="18"/>
          <w:lang w:val="en-GB" w:eastAsia="x-none"/>
        </w:rPr>
      </w:pPr>
      <w:r w:rsidRPr="00226F76">
        <w:rPr>
          <w:rFonts w:ascii="Times New Roman" w:hAnsi="Times New Roman" w:cs="Times New Roman"/>
          <w:bCs/>
          <w:color w:val="000000"/>
          <w:kern w:val="32"/>
          <w:sz w:val="18"/>
          <w:szCs w:val="18"/>
          <w:lang w:val="en-GB" w:eastAsia="x-none"/>
        </w:rPr>
        <w:lastRenderedPageBreak/>
        <w:t>Moreover, the negative relationship between the presence of women on boards and voluntary disclosure in developing countries, such as Palestine, can be attributed to several factors. Firstly, social and cultural norms prevalent in these countries may limit women</w:t>
      </w:r>
      <w:r w:rsidR="00B45FA3">
        <w:rPr>
          <w:rFonts w:ascii="Times New Roman" w:hAnsi="Times New Roman" w:cs="Times New Roman"/>
          <w:bCs/>
          <w:color w:val="000000"/>
          <w:kern w:val="32"/>
          <w:sz w:val="18"/>
          <w:szCs w:val="18"/>
          <w:lang w:val="en-GB" w:eastAsia="x-none"/>
        </w:rPr>
        <w:t>’</w:t>
      </w:r>
      <w:r w:rsidRPr="00226F76">
        <w:rPr>
          <w:rFonts w:ascii="Times New Roman" w:hAnsi="Times New Roman" w:cs="Times New Roman"/>
          <w:bCs/>
          <w:color w:val="000000"/>
          <w:kern w:val="32"/>
          <w:sz w:val="18"/>
          <w:szCs w:val="18"/>
          <w:lang w:val="en-GB" w:eastAsia="x-none"/>
        </w:rPr>
        <w:t>s participation in corporate decision-making and board positions. This could lead to tokenism, where women directors are appointed only to fulfil gender diversity quotas without giving them real decision-making power</w:t>
      </w:r>
      <w:r w:rsidR="00FE17E9">
        <w:rPr>
          <w:rFonts w:ascii="Times New Roman" w:hAnsi="Times New Roman" w:cs="Times New Roman"/>
          <w:bCs/>
          <w:color w:val="000000"/>
          <w:kern w:val="32"/>
          <w:sz w:val="18"/>
          <w:szCs w:val="18"/>
          <w:lang w:val="en-GB" w:eastAsia="x-none"/>
        </w:rPr>
        <w:t xml:space="preserve"> </w:t>
      </w:r>
      <w:r w:rsidR="008D2D78">
        <w:rPr>
          <w:rFonts w:ascii="Times New Roman" w:hAnsi="Times New Roman" w:cs="Times New Roman"/>
          <w:bCs/>
          <w:color w:val="000000"/>
          <w:kern w:val="32"/>
          <w:sz w:val="18"/>
          <w:szCs w:val="18"/>
          <w:lang w:val="en-GB" w:eastAsia="x-none"/>
        </w:rPr>
        <w:t>[1].</w:t>
      </w:r>
      <w:r w:rsidR="000E131C">
        <w:rPr>
          <w:rFonts w:ascii="Times New Roman" w:hAnsi="Times New Roman" w:cs="Times New Roman"/>
          <w:bCs/>
          <w:color w:val="000000"/>
          <w:kern w:val="32"/>
          <w:sz w:val="18"/>
          <w:szCs w:val="18"/>
          <w:lang w:val="en-GB" w:eastAsia="x-none"/>
        </w:rPr>
        <w:t xml:space="preserve"> </w:t>
      </w:r>
      <w:r w:rsidR="000E131C" w:rsidRPr="000E131C">
        <w:rPr>
          <w:rFonts w:ascii="Times New Roman" w:hAnsi="Times New Roman" w:cs="Times New Roman"/>
          <w:bCs/>
          <w:color w:val="000000"/>
          <w:kern w:val="32"/>
          <w:sz w:val="18"/>
          <w:szCs w:val="18"/>
          <w:lang w:eastAsia="x-none"/>
        </w:rPr>
        <w:t xml:space="preserve">Furthermore, the critical mass theory suggests that the presence of less than three female members on a board is insufficient to effect change </w:t>
      </w:r>
      <w:r w:rsidR="00775AA2">
        <w:rPr>
          <w:rFonts w:ascii="Times New Roman" w:hAnsi="Times New Roman" w:cs="Times New Roman"/>
          <w:bCs/>
          <w:color w:val="000000"/>
          <w:kern w:val="32"/>
          <w:sz w:val="18"/>
          <w:szCs w:val="18"/>
          <w:lang w:eastAsia="x-none"/>
        </w:rPr>
        <w:t>[6</w:t>
      </w:r>
      <w:r w:rsidR="00E537E5">
        <w:rPr>
          <w:rFonts w:ascii="Times New Roman" w:hAnsi="Times New Roman" w:cs="Times New Roman"/>
          <w:bCs/>
          <w:color w:val="000000"/>
          <w:kern w:val="32"/>
          <w:sz w:val="18"/>
          <w:szCs w:val="18"/>
          <w:lang w:eastAsia="x-none"/>
        </w:rPr>
        <w:t>1</w:t>
      </w:r>
      <w:r w:rsidR="00775AA2">
        <w:rPr>
          <w:rFonts w:ascii="Times New Roman" w:hAnsi="Times New Roman" w:cs="Times New Roman"/>
          <w:bCs/>
          <w:color w:val="000000"/>
          <w:kern w:val="32"/>
          <w:sz w:val="18"/>
          <w:szCs w:val="18"/>
          <w:lang w:eastAsia="x-none"/>
        </w:rPr>
        <w:t>]</w:t>
      </w:r>
      <w:r w:rsidR="000E131C" w:rsidRPr="000E131C">
        <w:rPr>
          <w:rFonts w:ascii="Times New Roman" w:hAnsi="Times New Roman" w:cs="Times New Roman"/>
          <w:bCs/>
          <w:color w:val="000000"/>
          <w:kern w:val="32"/>
          <w:sz w:val="18"/>
          <w:szCs w:val="18"/>
          <w:lang w:eastAsia="x-none"/>
        </w:rPr>
        <w:t>.</w:t>
      </w:r>
      <w:r w:rsidRPr="00226F76">
        <w:rPr>
          <w:rFonts w:ascii="Times New Roman" w:hAnsi="Times New Roman" w:cs="Times New Roman"/>
          <w:bCs/>
          <w:color w:val="000000"/>
          <w:kern w:val="32"/>
          <w:sz w:val="18"/>
          <w:szCs w:val="18"/>
          <w:lang w:val="en-GB" w:eastAsia="x-none"/>
        </w:rPr>
        <w:t xml:space="preserve"> Secondly, women directors may face obstacles in accessing networks and resources available to their male counterparts, reducing their effectiveness in promoting transparency and disclosure. Thirdly, the limited number of women serving on boards in these countries may make it challenging to draw meaningful conclusions about their influence on voluntary disclosure</w:t>
      </w:r>
      <w:r w:rsidR="00B45FA3" w:rsidRPr="00B45FA3">
        <w:rPr>
          <w:rFonts w:ascii="Times New Roman" w:hAnsi="Times New Roman" w:cs="Times New Roman"/>
          <w:bCs/>
          <w:color w:val="000000"/>
          <w:kern w:val="32"/>
          <w:sz w:val="18"/>
          <w:szCs w:val="18"/>
          <w:lang w:eastAsia="x-none"/>
        </w:rPr>
        <w:t xml:space="preserve"> </w:t>
      </w:r>
      <w:r w:rsidR="00775AA2">
        <w:rPr>
          <w:rFonts w:ascii="Times New Roman" w:hAnsi="Times New Roman" w:cs="Times New Roman"/>
          <w:bCs/>
          <w:color w:val="000000"/>
          <w:kern w:val="32"/>
          <w:sz w:val="18"/>
          <w:szCs w:val="18"/>
          <w:lang w:eastAsia="x-none"/>
        </w:rPr>
        <w:t>[</w:t>
      </w:r>
      <w:r w:rsidR="00E537E5">
        <w:rPr>
          <w:rFonts w:ascii="Times New Roman" w:hAnsi="Times New Roman" w:cs="Times New Roman"/>
          <w:bCs/>
          <w:color w:val="000000"/>
          <w:kern w:val="32"/>
          <w:sz w:val="18"/>
          <w:szCs w:val="18"/>
          <w:lang w:eastAsia="x-none"/>
        </w:rPr>
        <w:t>60</w:t>
      </w:r>
      <w:r w:rsidR="00775AA2">
        <w:rPr>
          <w:rFonts w:ascii="Times New Roman" w:hAnsi="Times New Roman" w:cs="Times New Roman"/>
          <w:bCs/>
          <w:color w:val="000000"/>
          <w:kern w:val="32"/>
          <w:sz w:val="18"/>
          <w:szCs w:val="18"/>
          <w:lang w:eastAsia="x-none"/>
        </w:rPr>
        <w:t xml:space="preserve">]. </w:t>
      </w:r>
      <w:r w:rsidRPr="00226F76">
        <w:rPr>
          <w:rFonts w:ascii="Times New Roman" w:hAnsi="Times New Roman" w:cs="Times New Roman"/>
          <w:bCs/>
          <w:color w:val="000000"/>
          <w:kern w:val="32"/>
          <w:sz w:val="18"/>
          <w:szCs w:val="18"/>
          <w:lang w:val="en-GB" w:eastAsia="x-none"/>
        </w:rPr>
        <w:t>Additionally, the lack of diversity among women directors may limit their ability to promote voluntary disclosure, as they may hold similar views and experiences to their male counterparts. T</w:t>
      </w:r>
      <w:r w:rsidR="00B45FA3">
        <w:rPr>
          <w:rFonts w:ascii="Times New Roman" w:hAnsi="Times New Roman" w:cs="Times New Roman"/>
          <w:bCs/>
          <w:color w:val="000000"/>
          <w:kern w:val="32"/>
          <w:sz w:val="18"/>
          <w:szCs w:val="18"/>
          <w:lang w:val="en-GB" w:eastAsia="x-none"/>
        </w:rPr>
        <w:t>herefore, t</w:t>
      </w:r>
      <w:r w:rsidRPr="00226F76">
        <w:rPr>
          <w:rFonts w:ascii="Times New Roman" w:hAnsi="Times New Roman" w:cs="Times New Roman"/>
          <w:bCs/>
          <w:color w:val="000000"/>
          <w:kern w:val="32"/>
          <w:sz w:val="18"/>
          <w:szCs w:val="18"/>
          <w:lang w:val="en-GB" w:eastAsia="x-none"/>
        </w:rPr>
        <w:t>o fully realize the benefits of diverse perspectives and experiences in promoting voluntary disclosure practices, policymakers and organizations must address these barriers and promote greater gender diversity on boards.</w:t>
      </w:r>
    </w:p>
    <w:p w14:paraId="227027A4" w14:textId="6C4BF948" w:rsidR="00D276F7" w:rsidRPr="00226F76" w:rsidRDefault="00226F76" w:rsidP="006E4F16">
      <w:pPr>
        <w:bidi w:val="0"/>
        <w:jc w:val="both"/>
        <w:rPr>
          <w:rFonts w:ascii="Times New Roman" w:hAnsi="Times New Roman" w:cs="Times New Roman"/>
          <w:bCs/>
          <w:color w:val="000000"/>
          <w:kern w:val="32"/>
          <w:sz w:val="18"/>
          <w:szCs w:val="18"/>
          <w:lang w:val="en-GB" w:eastAsia="x-none"/>
        </w:rPr>
      </w:pPr>
      <w:r w:rsidRPr="00226F76">
        <w:rPr>
          <w:rFonts w:ascii="Times New Roman" w:hAnsi="Times New Roman" w:cs="Times New Roman"/>
          <w:bCs/>
          <w:color w:val="000000"/>
          <w:kern w:val="32"/>
          <w:sz w:val="18"/>
          <w:szCs w:val="18"/>
          <w:lang w:val="en-GB" w:eastAsia="x-none"/>
        </w:rPr>
        <w:t xml:space="preserve">Regarding the control variables, the results show that firm size is positively related to the level of voluntary disclosure (β = 0.106, p &lt; 0.001), consistent with the stakeholder theory argument that larger firms face greater pressure from a larger number of stakeholders to provide more information. Furthermore, the results reveal that firm age is also positively related to the level of voluntary disclosure (β = 0.268, p &lt; 0.001), indicating that new firms disclose more information voluntarily than older ones. This finding is consistent with prior studies </w:t>
      </w:r>
      <w:r w:rsidR="00775AA2">
        <w:rPr>
          <w:rFonts w:ascii="Times New Roman" w:hAnsi="Times New Roman" w:cs="Times New Roman"/>
          <w:bCs/>
          <w:color w:val="000000"/>
          <w:kern w:val="32"/>
          <w:sz w:val="18"/>
          <w:szCs w:val="18"/>
          <w:lang w:val="en-GB" w:eastAsia="x-none"/>
        </w:rPr>
        <w:t>[</w:t>
      </w:r>
      <w:r w:rsidR="00522E60">
        <w:rPr>
          <w:rFonts w:ascii="Times New Roman" w:hAnsi="Times New Roman" w:cs="Times New Roman"/>
          <w:bCs/>
          <w:color w:val="000000"/>
          <w:kern w:val="32"/>
          <w:sz w:val="18"/>
          <w:szCs w:val="18"/>
          <w:lang w:val="en-GB" w:eastAsia="x-none"/>
        </w:rPr>
        <w:t>55</w:t>
      </w:r>
      <w:r w:rsidR="00775AA2">
        <w:rPr>
          <w:rFonts w:ascii="Times New Roman" w:hAnsi="Times New Roman" w:cs="Times New Roman"/>
          <w:bCs/>
          <w:color w:val="000000"/>
          <w:kern w:val="32"/>
          <w:sz w:val="18"/>
          <w:szCs w:val="18"/>
          <w:lang w:val="en-GB" w:eastAsia="x-none"/>
        </w:rPr>
        <w:t>,6</w:t>
      </w:r>
      <w:r w:rsidR="00E537E5">
        <w:rPr>
          <w:rFonts w:ascii="Times New Roman" w:hAnsi="Times New Roman" w:cs="Times New Roman"/>
          <w:bCs/>
          <w:color w:val="000000"/>
          <w:kern w:val="32"/>
          <w:sz w:val="18"/>
          <w:szCs w:val="18"/>
          <w:lang w:val="en-GB" w:eastAsia="x-none"/>
        </w:rPr>
        <w:t>2</w:t>
      </w:r>
      <w:r w:rsidR="00522E60">
        <w:rPr>
          <w:rFonts w:ascii="Times New Roman" w:hAnsi="Times New Roman" w:cs="Times New Roman"/>
          <w:bCs/>
          <w:color w:val="000000"/>
          <w:kern w:val="32"/>
          <w:sz w:val="18"/>
          <w:szCs w:val="18"/>
          <w:lang w:val="en-GB" w:eastAsia="x-none"/>
        </w:rPr>
        <w:t>]</w:t>
      </w:r>
      <w:r w:rsidRPr="00226F76">
        <w:rPr>
          <w:rFonts w:ascii="Times New Roman" w:hAnsi="Times New Roman" w:cs="Times New Roman"/>
          <w:bCs/>
          <w:color w:val="000000"/>
          <w:kern w:val="32"/>
          <w:sz w:val="18"/>
          <w:szCs w:val="18"/>
          <w:lang w:val="en-GB" w:eastAsia="x-none"/>
        </w:rPr>
        <w:t xml:space="preserve">. Finally, financial leverage is found to have a negative relationship with voluntary disclosure practices (β = -0.112, p &lt; 0.05), which is also consistent with previous </w:t>
      </w:r>
      <w:r w:rsidR="00775AA2" w:rsidRPr="00226F76">
        <w:rPr>
          <w:rFonts w:ascii="Times New Roman" w:hAnsi="Times New Roman" w:cs="Times New Roman"/>
          <w:bCs/>
          <w:color w:val="000000"/>
          <w:kern w:val="32"/>
          <w:sz w:val="18"/>
          <w:szCs w:val="18"/>
          <w:lang w:val="en-GB" w:eastAsia="x-none"/>
        </w:rPr>
        <w:t>research [</w:t>
      </w:r>
      <w:r w:rsidR="006E4F16">
        <w:rPr>
          <w:rFonts w:ascii="Times New Roman" w:hAnsi="Times New Roman" w:cs="Times New Roman"/>
          <w:bCs/>
          <w:color w:val="000000"/>
          <w:kern w:val="32"/>
          <w:sz w:val="18"/>
          <w:szCs w:val="18"/>
          <w:lang w:val="en-GB" w:eastAsia="x-none"/>
        </w:rPr>
        <w:t>19</w:t>
      </w:r>
      <w:r w:rsidR="00681440">
        <w:rPr>
          <w:rFonts w:ascii="Times New Roman" w:hAnsi="Times New Roman" w:cs="Times New Roman"/>
          <w:bCs/>
          <w:color w:val="000000"/>
          <w:kern w:val="32"/>
          <w:sz w:val="18"/>
          <w:szCs w:val="18"/>
          <w:lang w:val="en-GB" w:eastAsia="x-none"/>
        </w:rPr>
        <w:t>,</w:t>
      </w:r>
      <w:r w:rsidR="006E4F16">
        <w:rPr>
          <w:rFonts w:ascii="Times New Roman" w:hAnsi="Times New Roman" w:cs="Times New Roman"/>
          <w:bCs/>
          <w:color w:val="000000"/>
          <w:kern w:val="32"/>
          <w:sz w:val="18"/>
          <w:szCs w:val="18"/>
          <w:lang w:val="en-GB" w:eastAsia="x-none"/>
        </w:rPr>
        <w:t>21</w:t>
      </w:r>
      <w:r w:rsidR="00681440">
        <w:rPr>
          <w:rFonts w:ascii="Times New Roman" w:hAnsi="Times New Roman" w:cs="Times New Roman"/>
          <w:bCs/>
          <w:color w:val="000000"/>
          <w:kern w:val="32"/>
          <w:sz w:val="18"/>
          <w:szCs w:val="18"/>
          <w:lang w:val="en-GB" w:eastAsia="x-none"/>
        </w:rPr>
        <w:t>,5</w:t>
      </w:r>
      <w:r w:rsidR="00E537E5">
        <w:rPr>
          <w:rFonts w:ascii="Times New Roman" w:hAnsi="Times New Roman" w:cs="Times New Roman"/>
          <w:bCs/>
          <w:color w:val="000000"/>
          <w:kern w:val="32"/>
          <w:sz w:val="18"/>
          <w:szCs w:val="18"/>
          <w:lang w:val="en-GB" w:eastAsia="x-none"/>
        </w:rPr>
        <w:t>8</w:t>
      </w:r>
      <w:r w:rsidR="00681440">
        <w:rPr>
          <w:rFonts w:ascii="Times New Roman" w:hAnsi="Times New Roman" w:cs="Times New Roman"/>
          <w:bCs/>
          <w:color w:val="000000"/>
          <w:kern w:val="32"/>
          <w:sz w:val="18"/>
          <w:szCs w:val="18"/>
          <w:lang w:val="en-GB" w:eastAsia="x-none"/>
        </w:rPr>
        <w:t>]</w:t>
      </w:r>
      <w:r w:rsidRPr="00226F76">
        <w:rPr>
          <w:rFonts w:ascii="Times New Roman" w:hAnsi="Times New Roman" w:cs="Times New Roman"/>
          <w:bCs/>
          <w:color w:val="000000"/>
          <w:kern w:val="32"/>
          <w:sz w:val="18"/>
          <w:szCs w:val="18"/>
          <w:lang w:val="en-GB" w:eastAsia="x-none"/>
        </w:rPr>
        <w:t>. This could be due to the higher risk associated with higher financial leverage, which makes firms more cautious about disclosing information voluntarily.</w:t>
      </w:r>
    </w:p>
    <w:p w14:paraId="36184D13" w14:textId="05E79EC8" w:rsidR="00D276F7" w:rsidRPr="00B45FA3" w:rsidRDefault="00D276F7" w:rsidP="00D276F7">
      <w:pPr>
        <w:bidi w:val="0"/>
        <w:jc w:val="both"/>
        <w:rPr>
          <w:rFonts w:ascii="Times New Roman" w:hAnsi="Times New Roman" w:cs="Times New Roman"/>
          <w:b/>
          <w:bCs/>
          <w:color w:val="000000"/>
          <w:sz w:val="18"/>
          <w:szCs w:val="18"/>
        </w:rPr>
      </w:pPr>
      <w:r w:rsidRPr="00B45FA3">
        <w:rPr>
          <w:rFonts w:ascii="Times New Roman" w:hAnsi="Times New Roman" w:cs="Times New Roman"/>
          <w:b/>
          <w:bCs/>
          <w:color w:val="000000"/>
          <w:sz w:val="18"/>
          <w:szCs w:val="18"/>
        </w:rPr>
        <w:t xml:space="preserve">Conclusion </w:t>
      </w:r>
    </w:p>
    <w:p w14:paraId="68E3F00D" w14:textId="5A86E331" w:rsidR="00B45FA3" w:rsidRPr="00B45FA3" w:rsidRDefault="00B45FA3" w:rsidP="00B45FA3">
      <w:pPr>
        <w:bidi w:val="0"/>
        <w:jc w:val="both"/>
        <w:rPr>
          <w:rFonts w:ascii="Times New Roman" w:hAnsi="Times New Roman" w:cs="Times New Roman"/>
          <w:color w:val="000000"/>
          <w:sz w:val="18"/>
          <w:szCs w:val="18"/>
          <w:lang w:val="en-GB"/>
        </w:rPr>
      </w:pPr>
      <w:r w:rsidRPr="00B45FA3">
        <w:rPr>
          <w:rFonts w:ascii="Times New Roman" w:hAnsi="Times New Roman" w:cs="Times New Roman"/>
          <w:color w:val="000000"/>
          <w:sz w:val="18"/>
          <w:szCs w:val="18"/>
          <w:lang w:val="en-GB"/>
        </w:rPr>
        <w:t xml:space="preserve">In conclusion, this study contributes to the literature by investigating the extent of voluntary disclosure and the impact of board characteristics on the level of VD in the annual reports of Palestinian companies listed on PEX from 2013 to 2017. The findings suggest that the average level of voluntary disclosure in the sampled companies is moderate, with financial and capital market information being the most disclosed category, while forward-looking information is the least disclosed. Additionally, the study identifies board size as a significant and positive factor affecting voluntary disclosure practices, while board gender diversity </w:t>
      </w:r>
      <w:r>
        <w:rPr>
          <w:rFonts w:ascii="Times New Roman" w:hAnsi="Times New Roman" w:cs="Times New Roman"/>
          <w:color w:val="000000"/>
          <w:sz w:val="18"/>
          <w:szCs w:val="18"/>
          <w:lang w:val="en-GB"/>
        </w:rPr>
        <w:t>significantly negatively affects</w:t>
      </w:r>
      <w:r w:rsidRPr="00B45FA3">
        <w:rPr>
          <w:rFonts w:ascii="Times New Roman" w:hAnsi="Times New Roman" w:cs="Times New Roman"/>
          <w:color w:val="000000"/>
          <w:sz w:val="18"/>
          <w:szCs w:val="18"/>
          <w:lang w:val="en-GB"/>
        </w:rPr>
        <w:t xml:space="preserve"> VD. This highlights the importance of considering board characteristics when evaluating the level of voluntary disclosure in Palestinian companies.</w:t>
      </w:r>
    </w:p>
    <w:p w14:paraId="0B7D1A9D" w14:textId="18DB7C77" w:rsidR="00B45FA3" w:rsidRDefault="00B45FA3" w:rsidP="00B45FA3">
      <w:pPr>
        <w:bidi w:val="0"/>
        <w:jc w:val="both"/>
        <w:rPr>
          <w:rFonts w:ascii="Times New Roman" w:hAnsi="Times New Roman" w:cs="Times New Roman"/>
          <w:color w:val="000000"/>
          <w:sz w:val="18"/>
          <w:szCs w:val="18"/>
          <w:lang w:val="en-GB"/>
        </w:rPr>
      </w:pPr>
      <w:r w:rsidRPr="00B45FA3">
        <w:rPr>
          <w:rFonts w:ascii="Times New Roman" w:hAnsi="Times New Roman" w:cs="Times New Roman"/>
          <w:color w:val="000000"/>
          <w:sz w:val="18"/>
          <w:szCs w:val="18"/>
          <w:lang w:val="en-GB"/>
        </w:rPr>
        <w:t>Based on the results, the study recommends that policymakers and regulators establish an official Palestinian VDI to evaluate and compare voluntary practice and disclosure among Palestinian companies. Moreover, Palestinian companies need to adhere to the Code of Corporate Governance in Palestine, which emphasizes the importance of board composition and size.</w:t>
      </w:r>
      <w:r>
        <w:rPr>
          <w:rFonts w:ascii="Times New Roman" w:hAnsi="Times New Roman" w:cs="Times New Roman"/>
          <w:color w:val="000000"/>
          <w:sz w:val="18"/>
          <w:szCs w:val="18"/>
          <w:lang w:val="en-GB"/>
        </w:rPr>
        <w:t xml:space="preserve"> Therefore, it could be beneficial for</w:t>
      </w:r>
      <w:r w:rsidRPr="00B45FA3">
        <w:rPr>
          <w:rFonts w:ascii="Segoe UI" w:hAnsi="Segoe UI" w:cs="Segoe UI"/>
          <w:color w:val="374151"/>
          <w:shd w:val="clear" w:color="auto" w:fill="F7F7F8"/>
        </w:rPr>
        <w:t xml:space="preserve"> </w:t>
      </w:r>
      <w:r>
        <w:rPr>
          <w:rFonts w:ascii="Segoe UI" w:hAnsi="Segoe UI" w:cs="Segoe UI"/>
          <w:color w:val="374151"/>
          <w:shd w:val="clear" w:color="auto" w:fill="F7F7F8"/>
        </w:rPr>
        <w:t>c</w:t>
      </w:r>
      <w:r w:rsidRPr="00B45FA3">
        <w:rPr>
          <w:rFonts w:ascii="Times New Roman" w:hAnsi="Times New Roman" w:cs="Times New Roman"/>
          <w:color w:val="000000"/>
          <w:sz w:val="18"/>
          <w:szCs w:val="18"/>
        </w:rPr>
        <w:t xml:space="preserve">ompanies </w:t>
      </w:r>
      <w:r>
        <w:rPr>
          <w:rFonts w:ascii="Times New Roman" w:hAnsi="Times New Roman" w:cs="Times New Roman"/>
          <w:color w:val="000000"/>
          <w:sz w:val="18"/>
          <w:szCs w:val="18"/>
        </w:rPr>
        <w:t>to</w:t>
      </w:r>
      <w:r w:rsidRPr="00B45FA3">
        <w:rPr>
          <w:rFonts w:ascii="Times New Roman" w:hAnsi="Times New Roman" w:cs="Times New Roman"/>
          <w:color w:val="000000"/>
          <w:sz w:val="18"/>
          <w:szCs w:val="18"/>
        </w:rPr>
        <w:t xml:space="preserve"> consider increasing the number of board members in order to improve their voluntary disclosure practices. This could be achieved by recruiting more independent directors with diverse skills and expertise who can provide constructive criticism and challenge management decisions. A larger board could also provide more resources and oversight to ensure th</w:t>
      </w:r>
      <w:r>
        <w:rPr>
          <w:rFonts w:ascii="Times New Roman" w:hAnsi="Times New Roman" w:cs="Times New Roman"/>
          <w:color w:val="000000"/>
          <w:sz w:val="18"/>
          <w:szCs w:val="18"/>
        </w:rPr>
        <w:t>e company meets</w:t>
      </w:r>
      <w:r w:rsidRPr="00B45FA3">
        <w:rPr>
          <w:rFonts w:ascii="Times New Roman" w:hAnsi="Times New Roman" w:cs="Times New Roman"/>
          <w:color w:val="000000"/>
          <w:sz w:val="18"/>
          <w:szCs w:val="18"/>
        </w:rPr>
        <w:t xml:space="preserve"> its disclosure obligations.</w:t>
      </w:r>
      <w:r w:rsidRPr="00B45FA3">
        <w:rPr>
          <w:rFonts w:ascii="Times New Roman" w:hAnsi="Times New Roman" w:cs="Times New Roman"/>
          <w:color w:val="000000"/>
          <w:sz w:val="18"/>
          <w:szCs w:val="18"/>
          <w:lang w:val="en-GB"/>
        </w:rPr>
        <w:t xml:space="preserve"> </w:t>
      </w:r>
      <w:r>
        <w:rPr>
          <w:rFonts w:ascii="Times New Roman" w:hAnsi="Times New Roman" w:cs="Times New Roman"/>
          <w:color w:val="000000"/>
          <w:sz w:val="18"/>
          <w:szCs w:val="18"/>
          <w:lang w:val="en-GB"/>
        </w:rPr>
        <w:t>In addition, f</w:t>
      </w:r>
      <w:r w:rsidRPr="00B45FA3">
        <w:rPr>
          <w:rFonts w:ascii="Times New Roman" w:hAnsi="Times New Roman" w:cs="Times New Roman"/>
          <w:color w:val="000000"/>
          <w:sz w:val="18"/>
          <w:szCs w:val="18"/>
          <w:lang w:val="en-GB"/>
        </w:rPr>
        <w:t>uture research could examine the effect of other potential explanatory variables, such as director</w:t>
      </w:r>
      <w:r>
        <w:rPr>
          <w:rFonts w:ascii="Times New Roman" w:hAnsi="Times New Roman" w:cs="Times New Roman"/>
          <w:color w:val="000000"/>
          <w:sz w:val="18"/>
          <w:szCs w:val="18"/>
          <w:lang w:val="en-GB"/>
        </w:rPr>
        <w:t>’</w:t>
      </w:r>
      <w:r w:rsidRPr="00B45FA3">
        <w:rPr>
          <w:rFonts w:ascii="Times New Roman" w:hAnsi="Times New Roman" w:cs="Times New Roman"/>
          <w:color w:val="000000"/>
          <w:sz w:val="18"/>
          <w:szCs w:val="18"/>
          <w:lang w:val="en-GB"/>
        </w:rPr>
        <w:t>s tenure, age, and board committees</w:t>
      </w:r>
      <w:r>
        <w:rPr>
          <w:rFonts w:ascii="Times New Roman" w:hAnsi="Times New Roman" w:cs="Times New Roman"/>
          <w:color w:val="000000"/>
          <w:sz w:val="18"/>
          <w:szCs w:val="18"/>
          <w:lang w:val="en-GB"/>
        </w:rPr>
        <w:t>,</w:t>
      </w:r>
      <w:r w:rsidRPr="00B45FA3">
        <w:rPr>
          <w:rFonts w:ascii="Times New Roman" w:hAnsi="Times New Roman" w:cs="Times New Roman"/>
          <w:color w:val="000000"/>
          <w:sz w:val="18"/>
          <w:szCs w:val="18"/>
          <w:lang w:val="en-GB"/>
        </w:rPr>
        <w:t xml:space="preserve"> on the level of voluntary disclosure.</w:t>
      </w:r>
    </w:p>
    <w:p w14:paraId="7D40BDD4" w14:textId="49672EDC" w:rsidR="00B45FA3" w:rsidRPr="00B45FA3" w:rsidRDefault="00B45FA3" w:rsidP="00B45FA3">
      <w:pPr>
        <w:bidi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Concerning board gender diversity, </w:t>
      </w:r>
      <w:r>
        <w:rPr>
          <w:rFonts w:ascii="Times New Roman" w:hAnsi="Times New Roman" w:cs="Times New Roman"/>
          <w:color w:val="000000"/>
          <w:sz w:val="18"/>
          <w:szCs w:val="18"/>
        </w:rPr>
        <w:t>t</w:t>
      </w:r>
      <w:r w:rsidRPr="00B45FA3">
        <w:rPr>
          <w:rFonts w:ascii="Times New Roman" w:hAnsi="Times New Roman" w:cs="Times New Roman"/>
          <w:color w:val="000000"/>
          <w:sz w:val="18"/>
          <w:szCs w:val="18"/>
        </w:rPr>
        <w:t>he finding</w:t>
      </w:r>
      <w:r>
        <w:rPr>
          <w:rFonts w:ascii="Times New Roman" w:hAnsi="Times New Roman" w:cs="Times New Roman"/>
          <w:color w:val="000000"/>
          <w:sz w:val="18"/>
          <w:szCs w:val="18"/>
        </w:rPr>
        <w:t xml:space="preserve"> indicates</w:t>
      </w:r>
      <w:r w:rsidRPr="00B45FA3">
        <w:rPr>
          <w:rFonts w:ascii="Times New Roman" w:hAnsi="Times New Roman" w:cs="Times New Roman"/>
          <w:color w:val="000000"/>
          <w:sz w:val="18"/>
          <w:szCs w:val="18"/>
        </w:rPr>
        <w:t xml:space="preserve"> that board gender diversity has a negative impact on voluntary disclosure</w:t>
      </w:r>
      <w:r>
        <w:rPr>
          <w:rFonts w:ascii="Times New Roman" w:hAnsi="Times New Roman" w:cs="Times New Roman"/>
          <w:color w:val="000000"/>
          <w:sz w:val="18"/>
          <w:szCs w:val="18"/>
        </w:rPr>
        <w:t>,</w:t>
      </w:r>
      <w:r w:rsidRPr="00B45FA3">
        <w:rPr>
          <w:rFonts w:ascii="Times New Roman" w:hAnsi="Times New Roman" w:cs="Times New Roman"/>
          <w:color w:val="000000"/>
          <w:sz w:val="18"/>
          <w:szCs w:val="18"/>
        </w:rPr>
        <w:t xml:space="preserve"> suggest</w:t>
      </w:r>
      <w:r>
        <w:rPr>
          <w:rFonts w:ascii="Times New Roman" w:hAnsi="Times New Roman" w:cs="Times New Roman"/>
          <w:color w:val="000000"/>
          <w:sz w:val="18"/>
          <w:szCs w:val="18"/>
        </w:rPr>
        <w:t>ing that companies would take steps to ensure that female directors can</w:t>
      </w:r>
      <w:r w:rsidRPr="00B45FA3">
        <w:rPr>
          <w:rFonts w:ascii="Times New Roman" w:hAnsi="Times New Roman" w:cs="Times New Roman"/>
          <w:color w:val="000000"/>
          <w:sz w:val="18"/>
          <w:szCs w:val="18"/>
        </w:rPr>
        <w:t xml:space="preserve"> play an effective role in promoting transparency and disclosure. To do so, companies may consider implementing policies and practices aimed at increasing the participation and influence of women in corporate decision-making, such as mentoring programs or diversity initiatives. Additionally, companies may want to focus on improving the networks and resources available to women directors, which may help to enhance their effectiveness in promoting voluntary disclosure practices. By taking these steps, companies may overcome the barriers that limit the effectiveness of women directors in promoting transparency and disclosure and realize the potential benefits of greater gender diversity on their boards.</w:t>
      </w:r>
    </w:p>
    <w:p w14:paraId="59729E20" w14:textId="15CBDBA1" w:rsidR="00B45FA3" w:rsidRDefault="00B45FA3" w:rsidP="00B45FA3">
      <w:pPr>
        <w:bidi w:val="0"/>
        <w:jc w:val="both"/>
        <w:rPr>
          <w:rFonts w:ascii="Times New Roman" w:hAnsi="Times New Roman" w:cs="Times New Roman"/>
          <w:color w:val="000000"/>
          <w:sz w:val="18"/>
          <w:szCs w:val="18"/>
          <w:rtl/>
          <w:lang w:val="en-GB"/>
        </w:rPr>
      </w:pPr>
      <w:r w:rsidRPr="00B45FA3">
        <w:rPr>
          <w:rFonts w:ascii="Times New Roman" w:hAnsi="Times New Roman" w:cs="Times New Roman"/>
          <w:color w:val="000000"/>
          <w:sz w:val="18"/>
          <w:szCs w:val="18"/>
          <w:lang w:val="en-GB"/>
        </w:rPr>
        <w:t xml:space="preserve">However, the study has several limitations. Firstly, </w:t>
      </w:r>
      <w:r>
        <w:rPr>
          <w:rFonts w:ascii="Times New Roman" w:hAnsi="Times New Roman" w:cs="Times New Roman"/>
          <w:color w:val="000000"/>
          <w:sz w:val="18"/>
          <w:szCs w:val="18"/>
          <w:lang w:val="en-GB"/>
        </w:rPr>
        <w:t>using</w:t>
      </w:r>
      <w:r w:rsidRPr="00B45FA3">
        <w:rPr>
          <w:rFonts w:ascii="Times New Roman" w:hAnsi="Times New Roman" w:cs="Times New Roman"/>
          <w:color w:val="000000"/>
          <w:sz w:val="18"/>
          <w:szCs w:val="18"/>
          <w:lang w:val="en-GB"/>
        </w:rPr>
        <w:t xml:space="preserve"> a disclosure index to measure voluntary disclosure levels may limit the comparability of the results with other studies that used different indices. Secondly, the VDI used in the study measures the quantity rather than the quality of voluntary information disclosed, and there is no independent audit to verify the accuracy and reliability of the information. Lastly, the study</w:t>
      </w:r>
      <w:r>
        <w:rPr>
          <w:rFonts w:ascii="Times New Roman" w:hAnsi="Times New Roman" w:cs="Times New Roman"/>
          <w:color w:val="000000"/>
          <w:sz w:val="18"/>
          <w:szCs w:val="18"/>
          <w:lang w:val="en-GB"/>
        </w:rPr>
        <w:t>’</w:t>
      </w:r>
      <w:r w:rsidRPr="00B45FA3">
        <w:rPr>
          <w:rFonts w:ascii="Times New Roman" w:hAnsi="Times New Roman" w:cs="Times New Roman"/>
          <w:color w:val="000000"/>
          <w:sz w:val="18"/>
          <w:szCs w:val="18"/>
          <w:lang w:val="en-GB"/>
        </w:rPr>
        <w:t>s period is limited to only five years, and future studies could extend the period to gather more comprehensive data.</w:t>
      </w:r>
    </w:p>
    <w:p w14:paraId="7B02C87C" w14:textId="77777777" w:rsidR="00984291" w:rsidRPr="009D18B8" w:rsidRDefault="00984291" w:rsidP="00984291">
      <w:pPr>
        <w:bidi w:val="0"/>
        <w:jc w:val="both"/>
        <w:rPr>
          <w:rFonts w:ascii="Times New Roman" w:hAnsi="Times New Roman" w:cs="Times New Roman"/>
          <w:b/>
          <w:bCs/>
          <w:color w:val="FF0000"/>
          <w:sz w:val="18"/>
          <w:szCs w:val="18"/>
        </w:rPr>
      </w:pPr>
      <w:r w:rsidRPr="009D18B8">
        <w:rPr>
          <w:rFonts w:ascii="Times New Roman" w:hAnsi="Times New Roman" w:cs="Times New Roman"/>
          <w:b/>
          <w:bCs/>
          <w:color w:val="FF0000"/>
          <w:sz w:val="18"/>
          <w:szCs w:val="18"/>
        </w:rPr>
        <w:lastRenderedPageBreak/>
        <w:t xml:space="preserve">Contributions/Practical Implications: </w:t>
      </w:r>
    </w:p>
    <w:p w14:paraId="34D24245" w14:textId="0E6E1FD4" w:rsidR="00984291" w:rsidRDefault="00984291" w:rsidP="009D18B8">
      <w:pPr>
        <w:bidi w:val="0"/>
        <w:spacing w:after="0"/>
        <w:jc w:val="both"/>
        <w:rPr>
          <w:rFonts w:ascii="Times New Roman" w:hAnsi="Times New Roman" w:cs="Times New Roman"/>
          <w:sz w:val="18"/>
          <w:szCs w:val="18"/>
        </w:rPr>
      </w:pPr>
      <w:r w:rsidRPr="009D18B8">
        <w:rPr>
          <w:rFonts w:ascii="Times New Roman" w:hAnsi="Times New Roman" w:cs="Times New Roman"/>
          <w:color w:val="FF0000"/>
          <w:sz w:val="18"/>
          <w:szCs w:val="18"/>
        </w:rPr>
        <w:t>The research makes significant theoretical and empirical contributions to literature regarding the impact of Board Characteristics on the level of Voluntary Disclosure on the Palestine</w:t>
      </w:r>
      <w:r w:rsidRPr="009D18B8">
        <w:rPr>
          <w:b/>
          <w:bCs/>
          <w:color w:val="FF0000"/>
        </w:rPr>
        <w:t xml:space="preserve"> </w:t>
      </w:r>
      <w:r w:rsidRPr="009D18B8">
        <w:rPr>
          <w:rFonts w:ascii="Times New Roman" w:hAnsi="Times New Roman" w:cs="Times New Roman"/>
          <w:color w:val="FF0000"/>
          <w:sz w:val="18"/>
          <w:szCs w:val="18"/>
        </w:rPr>
        <w:t xml:space="preserve">and other countries. The research results might help both </w:t>
      </w:r>
      <w:r w:rsidR="00BD5A89" w:rsidRPr="009D18B8">
        <w:rPr>
          <w:rFonts w:ascii="Times New Roman" w:hAnsi="Times New Roman" w:cs="Times New Roman"/>
          <w:color w:val="FF0000"/>
          <w:sz w:val="18"/>
          <w:szCs w:val="18"/>
        </w:rPr>
        <w:t>management</w:t>
      </w:r>
      <w:r w:rsidRPr="009D18B8">
        <w:rPr>
          <w:rFonts w:ascii="Times New Roman" w:hAnsi="Times New Roman" w:cs="Times New Roman"/>
          <w:color w:val="FF0000"/>
          <w:sz w:val="18"/>
          <w:szCs w:val="18"/>
        </w:rPr>
        <w:t xml:space="preserve">s and practitioners in the </w:t>
      </w:r>
      <w:r w:rsidR="00F24829" w:rsidRPr="009D18B8">
        <w:rPr>
          <w:rFonts w:ascii="Times New Roman" w:hAnsi="Times New Roman" w:cs="Times New Roman"/>
          <w:color w:val="FF0000"/>
          <w:sz w:val="18"/>
          <w:szCs w:val="18"/>
        </w:rPr>
        <w:t>corporations to</w:t>
      </w:r>
      <w:r w:rsidRPr="009D18B8">
        <w:rPr>
          <w:rFonts w:ascii="Times New Roman" w:hAnsi="Times New Roman" w:cs="Times New Roman"/>
          <w:color w:val="FF0000"/>
          <w:sz w:val="18"/>
          <w:szCs w:val="18"/>
        </w:rPr>
        <w:t xml:space="preserve"> be more ready to understand </w:t>
      </w:r>
      <w:r w:rsidR="00F24829" w:rsidRPr="009D18B8">
        <w:rPr>
          <w:rFonts w:ascii="Times New Roman" w:hAnsi="Times New Roman" w:cs="Times New Roman"/>
          <w:color w:val="FF0000"/>
          <w:sz w:val="18"/>
          <w:szCs w:val="18"/>
        </w:rPr>
        <w:t>the components</w:t>
      </w:r>
      <w:r w:rsidR="00BD5A89" w:rsidRPr="009D18B8">
        <w:rPr>
          <w:rFonts w:ascii="Times New Roman" w:hAnsi="Times New Roman" w:cs="Times New Roman"/>
          <w:color w:val="FF0000"/>
          <w:sz w:val="18"/>
          <w:szCs w:val="18"/>
        </w:rPr>
        <w:t xml:space="preserve"> and </w:t>
      </w:r>
      <w:r w:rsidR="00F24829" w:rsidRPr="009D18B8">
        <w:rPr>
          <w:rFonts w:ascii="Times New Roman" w:hAnsi="Times New Roman" w:cs="Times New Roman"/>
          <w:color w:val="FF0000"/>
          <w:sz w:val="18"/>
          <w:szCs w:val="18"/>
        </w:rPr>
        <w:t>impact</w:t>
      </w:r>
      <w:r w:rsidR="00BD5A89" w:rsidRPr="009D18B8">
        <w:rPr>
          <w:rFonts w:ascii="Times New Roman" w:hAnsi="Times New Roman" w:cs="Times New Roman"/>
          <w:color w:val="FF0000"/>
          <w:sz w:val="18"/>
          <w:szCs w:val="18"/>
        </w:rPr>
        <w:t xml:space="preserve"> of board characteristics on the level of voluntary disclosure</w:t>
      </w:r>
      <w:r w:rsidRPr="009D18B8">
        <w:rPr>
          <w:rFonts w:ascii="Times New Roman" w:hAnsi="Times New Roman" w:cs="Times New Roman"/>
          <w:color w:val="FF0000"/>
          <w:sz w:val="18"/>
          <w:szCs w:val="18"/>
        </w:rPr>
        <w:t xml:space="preserve"> and activity</w:t>
      </w:r>
      <w:r w:rsidR="009D18B8">
        <w:rPr>
          <w:rFonts w:ascii="Times New Roman" w:hAnsi="Times New Roman" w:cs="Times New Roman"/>
          <w:color w:val="FF0000"/>
          <w:sz w:val="18"/>
          <w:szCs w:val="18"/>
        </w:rPr>
        <w:t>,</w:t>
      </w:r>
      <w:r w:rsidRPr="009D18B8">
        <w:rPr>
          <w:rFonts w:ascii="Times New Roman" w:hAnsi="Times New Roman" w:cs="Times New Roman"/>
          <w:color w:val="FF0000"/>
          <w:sz w:val="18"/>
          <w:szCs w:val="18"/>
        </w:rPr>
        <w:t xml:space="preserve"> effectiveness and </w:t>
      </w:r>
      <w:r w:rsidR="00F24829" w:rsidRPr="009D18B8">
        <w:rPr>
          <w:rFonts w:ascii="Times New Roman" w:hAnsi="Times New Roman" w:cs="Times New Roman"/>
          <w:color w:val="FF0000"/>
          <w:sz w:val="18"/>
          <w:szCs w:val="18"/>
        </w:rPr>
        <w:t>provide the</w:t>
      </w:r>
      <w:r w:rsidR="00BD5A89" w:rsidRPr="009D18B8">
        <w:rPr>
          <w:rFonts w:ascii="Times New Roman" w:hAnsi="Times New Roman" w:cs="Times New Roman"/>
          <w:color w:val="FF0000"/>
          <w:sz w:val="18"/>
          <w:szCs w:val="18"/>
        </w:rPr>
        <w:t xml:space="preserve"> level of voluntary disclosure</w:t>
      </w:r>
      <w:r w:rsidRPr="009D18B8">
        <w:rPr>
          <w:rFonts w:ascii="Times New Roman" w:hAnsi="Times New Roman" w:cs="Times New Roman"/>
          <w:color w:val="FF0000"/>
          <w:sz w:val="18"/>
          <w:szCs w:val="18"/>
        </w:rPr>
        <w:t xml:space="preserve"> insight into developing and applying them within </w:t>
      </w:r>
      <w:r w:rsidR="00BD5A89" w:rsidRPr="009D18B8">
        <w:rPr>
          <w:rFonts w:ascii="Times New Roman" w:hAnsi="Times New Roman" w:cs="Times New Roman"/>
          <w:bCs/>
          <w:color w:val="FF0000"/>
          <w:sz w:val="18"/>
          <w:szCs w:val="18"/>
        </w:rPr>
        <w:t xml:space="preserve">Palestinian-listed </w:t>
      </w:r>
      <w:r w:rsidR="009D18B8" w:rsidRPr="009D18B8">
        <w:rPr>
          <w:rFonts w:ascii="Times New Roman" w:hAnsi="Times New Roman" w:cs="Times New Roman"/>
          <w:bCs/>
          <w:color w:val="FF0000"/>
          <w:sz w:val="18"/>
          <w:szCs w:val="18"/>
        </w:rPr>
        <w:t>companies.</w:t>
      </w:r>
      <w:r w:rsidR="009D18B8" w:rsidRPr="009D18B8">
        <w:rPr>
          <w:rFonts w:ascii="Times New Roman" w:hAnsi="Times New Roman" w:cs="Times New Roman"/>
          <w:color w:val="FF0000"/>
          <w:sz w:val="18"/>
          <w:szCs w:val="18"/>
        </w:rPr>
        <w:t xml:space="preserve"> The level of voluntary disclosure is</w:t>
      </w:r>
      <w:r w:rsidRPr="009D18B8">
        <w:rPr>
          <w:rFonts w:ascii="Times New Roman" w:hAnsi="Times New Roman" w:cs="Times New Roman"/>
          <w:color w:val="FF0000"/>
          <w:sz w:val="18"/>
          <w:szCs w:val="18"/>
        </w:rPr>
        <w:t xml:space="preserve"> an important source </w:t>
      </w:r>
      <w:r w:rsidR="00F24829" w:rsidRPr="009D18B8">
        <w:rPr>
          <w:rFonts w:ascii="Times New Roman" w:hAnsi="Times New Roman" w:cs="Times New Roman"/>
          <w:color w:val="FF0000"/>
          <w:sz w:val="18"/>
          <w:szCs w:val="18"/>
        </w:rPr>
        <w:t xml:space="preserve">for all companies’ </w:t>
      </w:r>
      <w:r w:rsidRPr="009D18B8">
        <w:rPr>
          <w:rFonts w:ascii="Times New Roman" w:hAnsi="Times New Roman" w:cs="Times New Roman"/>
          <w:color w:val="FF0000"/>
          <w:sz w:val="18"/>
          <w:szCs w:val="18"/>
        </w:rPr>
        <w:t>wealth and therefore it should be taken into serious consideration when formulating the Palestinian</w:t>
      </w:r>
      <w:r w:rsidR="00F24829" w:rsidRPr="009D18B8">
        <w:rPr>
          <w:rFonts w:ascii="Times New Roman" w:hAnsi="Times New Roman" w:cs="Times New Roman"/>
          <w:color w:val="FF0000"/>
          <w:sz w:val="18"/>
          <w:szCs w:val="18"/>
        </w:rPr>
        <w:t>-listed companies</w:t>
      </w:r>
      <w:r w:rsidRPr="009D18B8">
        <w:rPr>
          <w:rFonts w:ascii="Times New Roman" w:hAnsi="Times New Roman" w:cs="Times New Roman"/>
          <w:color w:val="FF0000"/>
          <w:sz w:val="18"/>
          <w:szCs w:val="18"/>
        </w:rPr>
        <w:t xml:space="preserve">’ strategy. This strategy formulation process can be enhanced by fully integrating their indicators into management practices. </w:t>
      </w:r>
      <w:r w:rsidR="00F24829" w:rsidRPr="009D18B8">
        <w:rPr>
          <w:rFonts w:ascii="Times New Roman" w:hAnsi="Times New Roman" w:cs="Times New Roman"/>
          <w:bCs/>
          <w:color w:val="FF0000"/>
          <w:sz w:val="18"/>
          <w:szCs w:val="18"/>
        </w:rPr>
        <w:t>Palestinian-listed companies</w:t>
      </w:r>
      <w:r w:rsidR="00F24829" w:rsidRPr="009D18B8">
        <w:rPr>
          <w:rFonts w:ascii="Times New Roman" w:hAnsi="Times New Roman" w:cs="Times New Roman"/>
          <w:color w:val="FF0000"/>
          <w:sz w:val="18"/>
          <w:szCs w:val="18"/>
        </w:rPr>
        <w:t xml:space="preserve"> </w:t>
      </w:r>
      <w:r w:rsidRPr="009D18B8">
        <w:rPr>
          <w:rFonts w:ascii="Times New Roman" w:hAnsi="Times New Roman" w:cs="Times New Roman"/>
          <w:color w:val="FF0000"/>
          <w:sz w:val="18"/>
          <w:szCs w:val="18"/>
        </w:rPr>
        <w:t xml:space="preserve">should coordinate different perspectives </w:t>
      </w:r>
      <w:r w:rsidR="00F24829" w:rsidRPr="009D18B8">
        <w:rPr>
          <w:rFonts w:ascii="Times New Roman" w:hAnsi="Times New Roman" w:cs="Times New Roman"/>
          <w:color w:val="FF0000"/>
          <w:sz w:val="18"/>
          <w:szCs w:val="18"/>
        </w:rPr>
        <w:t xml:space="preserve">and indicators </w:t>
      </w:r>
      <w:r w:rsidRPr="009D18B8">
        <w:rPr>
          <w:rFonts w:ascii="Times New Roman" w:hAnsi="Times New Roman" w:cs="Times New Roman"/>
          <w:color w:val="FF0000"/>
          <w:sz w:val="18"/>
          <w:szCs w:val="18"/>
        </w:rPr>
        <w:t xml:space="preserve">to improve their performance and should assign scales for each of such </w:t>
      </w:r>
      <w:r w:rsidR="00F24829" w:rsidRPr="009D18B8">
        <w:rPr>
          <w:rFonts w:ascii="Times New Roman" w:hAnsi="Times New Roman" w:cs="Times New Roman"/>
          <w:color w:val="FF0000"/>
          <w:sz w:val="18"/>
          <w:szCs w:val="18"/>
        </w:rPr>
        <w:t>Board Characteristics</w:t>
      </w:r>
      <w:r>
        <w:rPr>
          <w:rFonts w:ascii="Times New Roman" w:hAnsi="Times New Roman" w:cs="Times New Roman"/>
          <w:sz w:val="18"/>
          <w:szCs w:val="18"/>
        </w:rPr>
        <w:t>.</w:t>
      </w:r>
    </w:p>
    <w:p w14:paraId="0677E960" w14:textId="3AF30EE2" w:rsidR="00984291" w:rsidRDefault="00984291" w:rsidP="009D18B8">
      <w:pPr>
        <w:bidi w:val="0"/>
        <w:spacing w:after="0" w:line="240" w:lineRule="auto"/>
        <w:rPr>
          <w:rFonts w:ascii="Times New Roman" w:eastAsia="Calibri" w:hAnsi="Times New Roman" w:cs="Times New Roman"/>
          <w:b/>
          <w:bCs/>
          <w:sz w:val="18"/>
          <w:szCs w:val="18"/>
          <w:rtl/>
        </w:rPr>
      </w:pPr>
    </w:p>
    <w:p w14:paraId="6BD61810" w14:textId="77777777" w:rsidR="00984291" w:rsidRDefault="00984291" w:rsidP="00984291">
      <w:pPr>
        <w:bidi w:val="0"/>
        <w:spacing w:after="0" w:line="240" w:lineRule="auto"/>
        <w:ind w:left="709" w:hanging="709"/>
        <w:rPr>
          <w:rFonts w:ascii="Times New Roman" w:eastAsia="Calibri" w:hAnsi="Times New Roman" w:cs="Times New Roman"/>
          <w:b/>
          <w:bCs/>
          <w:sz w:val="18"/>
          <w:szCs w:val="18"/>
          <w:rtl/>
        </w:rPr>
      </w:pPr>
    </w:p>
    <w:p w14:paraId="4993EDB4" w14:textId="4140BE6C" w:rsidR="00775AA2" w:rsidRPr="00775AA2" w:rsidRDefault="00775AA2" w:rsidP="00984291">
      <w:pPr>
        <w:bidi w:val="0"/>
        <w:spacing w:after="0" w:line="240" w:lineRule="auto"/>
        <w:ind w:left="709" w:hanging="709"/>
        <w:rPr>
          <w:rFonts w:ascii="Times New Roman" w:eastAsia="Calibri" w:hAnsi="Times New Roman" w:cs="Times New Roman"/>
          <w:b/>
          <w:bCs/>
          <w:sz w:val="18"/>
          <w:szCs w:val="18"/>
        </w:rPr>
      </w:pPr>
      <w:r w:rsidRPr="00775AA2">
        <w:rPr>
          <w:rFonts w:ascii="Times New Roman" w:eastAsia="Calibri" w:hAnsi="Times New Roman" w:cs="Times New Roman"/>
          <w:b/>
          <w:bCs/>
          <w:sz w:val="18"/>
          <w:szCs w:val="18"/>
        </w:rPr>
        <w:t>References</w:t>
      </w:r>
    </w:p>
    <w:p w14:paraId="5F9E3C1C" w14:textId="77777777" w:rsidR="00775AA2" w:rsidRDefault="00775AA2" w:rsidP="00775AA2">
      <w:pPr>
        <w:bidi w:val="0"/>
        <w:spacing w:after="0" w:line="240" w:lineRule="auto"/>
        <w:ind w:left="709" w:hanging="709"/>
        <w:rPr>
          <w:rFonts w:ascii="Times New Roman" w:eastAsia="Calibri" w:hAnsi="Times New Roman" w:cs="Times New Roman"/>
          <w:sz w:val="18"/>
          <w:szCs w:val="18"/>
        </w:rPr>
      </w:pPr>
    </w:p>
    <w:p w14:paraId="6D31AE53" w14:textId="77777777" w:rsidR="00775AA2" w:rsidRPr="001D7BD5" w:rsidRDefault="00775AA2" w:rsidP="00775AA2">
      <w:pPr>
        <w:bidi w:val="0"/>
        <w:jc w:val="both"/>
        <w:rPr>
          <w:rFonts w:asciiTheme="majorBidi" w:hAnsiTheme="majorBidi" w:cstheme="majorBidi"/>
          <w:sz w:val="18"/>
          <w:szCs w:val="18"/>
          <w:lang w:val="en-GB"/>
        </w:rPr>
      </w:pPr>
      <w:r w:rsidRPr="001D7BD5">
        <w:rPr>
          <w:rFonts w:asciiTheme="majorBidi" w:hAnsiTheme="majorBidi" w:cstheme="majorBidi"/>
          <w:sz w:val="18"/>
          <w:szCs w:val="18"/>
          <w:lang w:val="en-GB"/>
        </w:rPr>
        <w:t xml:space="preserve">[1] </w:t>
      </w:r>
      <w:proofErr w:type="spellStart"/>
      <w:r w:rsidRPr="001D7BD5">
        <w:rPr>
          <w:rFonts w:asciiTheme="majorBidi" w:hAnsiTheme="majorBidi" w:cstheme="majorBidi"/>
          <w:sz w:val="18"/>
          <w:szCs w:val="18"/>
          <w:lang w:val="en-GB"/>
        </w:rPr>
        <w:t>Dwekat</w:t>
      </w:r>
      <w:proofErr w:type="spellEnd"/>
      <w:r w:rsidRPr="001D7BD5">
        <w:rPr>
          <w:rFonts w:asciiTheme="majorBidi" w:hAnsiTheme="majorBidi" w:cstheme="majorBidi"/>
          <w:sz w:val="18"/>
          <w:szCs w:val="18"/>
          <w:lang w:val="en-GB"/>
        </w:rPr>
        <w:t xml:space="preserve">, A., </w:t>
      </w:r>
      <w:proofErr w:type="spellStart"/>
      <w:r w:rsidRPr="001D7BD5">
        <w:rPr>
          <w:rFonts w:asciiTheme="majorBidi" w:hAnsiTheme="majorBidi" w:cstheme="majorBidi"/>
          <w:sz w:val="18"/>
          <w:szCs w:val="18"/>
          <w:lang w:val="en-GB"/>
        </w:rPr>
        <w:t>Seguí</w:t>
      </w:r>
      <w:proofErr w:type="spellEnd"/>
      <w:r w:rsidRPr="001D7BD5">
        <w:rPr>
          <w:rFonts w:asciiTheme="majorBidi" w:hAnsiTheme="majorBidi" w:cstheme="majorBidi"/>
          <w:sz w:val="18"/>
          <w:szCs w:val="18"/>
          <w:lang w:val="en-GB"/>
        </w:rPr>
        <w:t xml:space="preserve">-Mas, E., Zaid, M. A., &amp; </w:t>
      </w:r>
      <w:proofErr w:type="spellStart"/>
      <w:r w:rsidRPr="001D7BD5">
        <w:rPr>
          <w:rFonts w:asciiTheme="majorBidi" w:hAnsiTheme="majorBidi" w:cstheme="majorBidi"/>
          <w:sz w:val="18"/>
          <w:szCs w:val="18"/>
          <w:lang w:val="en-GB"/>
        </w:rPr>
        <w:t>Tormo-Carbó</w:t>
      </w:r>
      <w:proofErr w:type="spellEnd"/>
      <w:r w:rsidRPr="001D7BD5">
        <w:rPr>
          <w:rFonts w:asciiTheme="majorBidi" w:hAnsiTheme="majorBidi" w:cstheme="majorBidi"/>
          <w:sz w:val="18"/>
          <w:szCs w:val="18"/>
          <w:lang w:val="en-GB"/>
        </w:rPr>
        <w:t>, G. (2022a). Corporate governance and corporate social responsibility: mapping the most critical drivers in the board academic literature. </w:t>
      </w:r>
      <w:proofErr w:type="spellStart"/>
      <w:r w:rsidRPr="001D7BD5">
        <w:rPr>
          <w:rFonts w:asciiTheme="majorBidi" w:hAnsiTheme="majorBidi" w:cstheme="majorBidi"/>
          <w:sz w:val="18"/>
          <w:szCs w:val="18"/>
          <w:lang w:val="en-GB"/>
        </w:rPr>
        <w:t>Meditari</w:t>
      </w:r>
      <w:proofErr w:type="spellEnd"/>
      <w:r w:rsidRPr="001D7BD5">
        <w:rPr>
          <w:rFonts w:asciiTheme="majorBidi" w:hAnsiTheme="majorBidi" w:cstheme="majorBidi"/>
          <w:sz w:val="18"/>
          <w:szCs w:val="18"/>
          <w:lang w:val="en-GB"/>
        </w:rPr>
        <w:t xml:space="preserve"> Accountancy Research, 30(6), 1705-1739.</w:t>
      </w:r>
    </w:p>
    <w:p w14:paraId="25F994AC"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 Ho, S., and Wong, K. (2001). A study of the relationship between corporate governance structure and the extent of voluntary disclosure. Journal of International Accounting, Auditing and Taxation, 10(1), 139–156. </w:t>
      </w:r>
      <w:hyperlink r:id="rId8" w:history="1">
        <w:r w:rsidRPr="001D7BD5">
          <w:rPr>
            <w:rStyle w:val="Hyperlink"/>
            <w:rFonts w:asciiTheme="majorBidi" w:hAnsiTheme="majorBidi" w:cstheme="majorBidi"/>
            <w:color w:val="auto"/>
            <w:sz w:val="18"/>
            <w:szCs w:val="18"/>
            <w:u w:val="none"/>
          </w:rPr>
          <w:t>http://dx.doi.org/10.1016/S1061-9518(01)00041-6</w:t>
        </w:r>
      </w:hyperlink>
    </w:p>
    <w:p w14:paraId="72C96153"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 [3] Cheng, E., and Courtenay, S. (2006). Board composition, regulatory regime and voluntary disclosure. The International Journal of Accounting, 41(3), 262–289. </w:t>
      </w:r>
      <w:hyperlink r:id="rId9" w:history="1">
        <w:r w:rsidRPr="001D7BD5">
          <w:rPr>
            <w:rStyle w:val="Hyperlink"/>
            <w:rFonts w:asciiTheme="majorBidi" w:hAnsiTheme="majorBidi" w:cstheme="majorBidi"/>
            <w:color w:val="auto"/>
            <w:sz w:val="18"/>
            <w:szCs w:val="18"/>
            <w:u w:val="none"/>
          </w:rPr>
          <w:t>http://dx.doi.org/10.1016/j.intacc.2006.07.001</w:t>
        </w:r>
      </w:hyperlink>
    </w:p>
    <w:p w14:paraId="32A79B00" w14:textId="77777777" w:rsidR="00775AA2" w:rsidRPr="001D7BD5" w:rsidRDefault="00775AA2" w:rsidP="00775AA2">
      <w:pPr>
        <w:bidi w:val="0"/>
        <w:jc w:val="both"/>
        <w:rPr>
          <w:rFonts w:asciiTheme="majorBidi" w:hAnsiTheme="majorBidi" w:cstheme="majorBidi"/>
          <w:sz w:val="18"/>
          <w:szCs w:val="18"/>
          <w:lang w:val="en-GB"/>
        </w:rPr>
      </w:pPr>
      <w:r w:rsidRPr="001D7BD5">
        <w:rPr>
          <w:rFonts w:asciiTheme="majorBidi" w:hAnsiTheme="majorBidi" w:cstheme="majorBidi"/>
          <w:sz w:val="18"/>
          <w:szCs w:val="18"/>
          <w:lang w:val="en-GB"/>
        </w:rPr>
        <w:t xml:space="preserve">[4] </w:t>
      </w:r>
      <w:proofErr w:type="spellStart"/>
      <w:r w:rsidRPr="001D7BD5">
        <w:rPr>
          <w:rFonts w:asciiTheme="majorBidi" w:hAnsiTheme="majorBidi" w:cstheme="majorBidi"/>
          <w:sz w:val="18"/>
          <w:szCs w:val="18"/>
          <w:lang w:val="en-GB"/>
        </w:rPr>
        <w:t>Dwekat</w:t>
      </w:r>
      <w:proofErr w:type="spellEnd"/>
      <w:r w:rsidRPr="001D7BD5">
        <w:rPr>
          <w:rFonts w:asciiTheme="majorBidi" w:hAnsiTheme="majorBidi" w:cstheme="majorBidi"/>
          <w:sz w:val="18"/>
          <w:szCs w:val="18"/>
          <w:lang w:val="en-GB"/>
        </w:rPr>
        <w:t xml:space="preserve">, A., </w:t>
      </w:r>
      <w:proofErr w:type="spellStart"/>
      <w:r w:rsidRPr="001D7BD5">
        <w:rPr>
          <w:rFonts w:asciiTheme="majorBidi" w:hAnsiTheme="majorBidi" w:cstheme="majorBidi"/>
          <w:sz w:val="18"/>
          <w:szCs w:val="18"/>
          <w:lang w:val="en-GB"/>
        </w:rPr>
        <w:t>Seguí</w:t>
      </w:r>
      <w:proofErr w:type="spellEnd"/>
      <w:r w:rsidRPr="001D7BD5">
        <w:rPr>
          <w:rFonts w:asciiTheme="majorBidi" w:hAnsiTheme="majorBidi" w:cstheme="majorBidi"/>
          <w:sz w:val="18"/>
          <w:szCs w:val="18"/>
          <w:lang w:val="en-GB"/>
        </w:rPr>
        <w:t xml:space="preserve">‐Mas, E., </w:t>
      </w:r>
      <w:proofErr w:type="spellStart"/>
      <w:r w:rsidRPr="001D7BD5">
        <w:rPr>
          <w:rFonts w:asciiTheme="majorBidi" w:hAnsiTheme="majorBidi" w:cstheme="majorBidi"/>
          <w:sz w:val="18"/>
          <w:szCs w:val="18"/>
          <w:lang w:val="en-GB"/>
        </w:rPr>
        <w:t>Tormo‐Carbó</w:t>
      </w:r>
      <w:proofErr w:type="spellEnd"/>
      <w:r w:rsidRPr="001D7BD5">
        <w:rPr>
          <w:rFonts w:asciiTheme="majorBidi" w:hAnsiTheme="majorBidi" w:cstheme="majorBidi"/>
          <w:sz w:val="18"/>
          <w:szCs w:val="18"/>
          <w:lang w:val="en-GB"/>
        </w:rPr>
        <w:t>, G., &amp; Carmona, P. (2020a). Corporate governance configurations and corporate social responsibility disclosure: Qualitative comparative analysis of audit committee and board characteristics. Corporate Social Responsibility and Environmental Management, 27(6), 2879-2892.</w:t>
      </w:r>
    </w:p>
    <w:p w14:paraId="62F20D90" w14:textId="77777777" w:rsidR="00775AA2" w:rsidRPr="001D7BD5" w:rsidRDefault="00775AA2" w:rsidP="00775AA2">
      <w:pPr>
        <w:bidi w:val="0"/>
        <w:jc w:val="both"/>
        <w:rPr>
          <w:rStyle w:val="Hyperlink"/>
          <w:rFonts w:asciiTheme="majorBidi" w:hAnsiTheme="majorBidi" w:cstheme="majorBidi"/>
          <w:color w:val="auto"/>
          <w:sz w:val="18"/>
          <w:szCs w:val="18"/>
          <w:u w:val="none"/>
        </w:rPr>
      </w:pPr>
      <w:r w:rsidRPr="001D7BD5">
        <w:rPr>
          <w:rFonts w:asciiTheme="majorBidi" w:hAnsiTheme="majorBidi" w:cstheme="majorBidi"/>
          <w:sz w:val="18"/>
          <w:szCs w:val="18"/>
        </w:rPr>
        <w:t xml:space="preserve">[5] </w:t>
      </w:r>
      <w:proofErr w:type="spellStart"/>
      <w:r w:rsidRPr="001D7BD5">
        <w:rPr>
          <w:rFonts w:asciiTheme="majorBidi" w:hAnsiTheme="majorBidi" w:cstheme="majorBidi"/>
          <w:sz w:val="18"/>
          <w:szCs w:val="18"/>
        </w:rPr>
        <w:t>Boesso</w:t>
      </w:r>
      <w:proofErr w:type="spellEnd"/>
      <w:r w:rsidRPr="001D7BD5">
        <w:rPr>
          <w:rFonts w:asciiTheme="majorBidi" w:hAnsiTheme="majorBidi" w:cstheme="majorBidi"/>
          <w:sz w:val="18"/>
          <w:szCs w:val="18"/>
        </w:rPr>
        <w:t xml:space="preserve">, G., and Kumar, K. (2007). Drivers of corporate voluntary disclosure: A framework and empirical evidence from Italy and the United States. Accounting, Auditing &amp; Accountability Journal, 20(2), 269–296. </w:t>
      </w:r>
      <w:hyperlink r:id="rId10" w:history="1">
        <w:r w:rsidRPr="001D7BD5">
          <w:rPr>
            <w:rStyle w:val="Hyperlink"/>
            <w:rFonts w:asciiTheme="majorBidi" w:hAnsiTheme="majorBidi" w:cstheme="majorBidi"/>
            <w:color w:val="auto"/>
            <w:sz w:val="18"/>
            <w:szCs w:val="18"/>
            <w:u w:val="none"/>
          </w:rPr>
          <w:t>http://dx.doi.org/10.1108/09513570710741028</w:t>
        </w:r>
      </w:hyperlink>
    </w:p>
    <w:p w14:paraId="7AFF40D9"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[6] </w:t>
      </w:r>
      <w:proofErr w:type="spellStart"/>
      <w:r w:rsidRPr="001D7BD5">
        <w:rPr>
          <w:rFonts w:asciiTheme="majorBidi" w:hAnsiTheme="majorBidi" w:cstheme="majorBidi"/>
          <w:sz w:val="18"/>
          <w:szCs w:val="18"/>
        </w:rPr>
        <w:t>Siregar</w:t>
      </w:r>
      <w:proofErr w:type="spellEnd"/>
      <w:r w:rsidRPr="001D7BD5">
        <w:rPr>
          <w:rFonts w:asciiTheme="majorBidi" w:hAnsiTheme="majorBidi" w:cstheme="majorBidi"/>
          <w:sz w:val="18"/>
          <w:szCs w:val="18"/>
        </w:rPr>
        <w:t xml:space="preserve">, S.V. and </w:t>
      </w:r>
      <w:proofErr w:type="spellStart"/>
      <w:r w:rsidRPr="001D7BD5">
        <w:rPr>
          <w:rFonts w:asciiTheme="majorBidi" w:hAnsiTheme="majorBidi" w:cstheme="majorBidi"/>
          <w:sz w:val="18"/>
          <w:szCs w:val="18"/>
        </w:rPr>
        <w:t>Bachtiar</w:t>
      </w:r>
      <w:proofErr w:type="spellEnd"/>
      <w:r w:rsidRPr="001D7BD5">
        <w:rPr>
          <w:rFonts w:asciiTheme="majorBidi" w:hAnsiTheme="majorBidi" w:cstheme="majorBidi"/>
          <w:sz w:val="18"/>
          <w:szCs w:val="18"/>
        </w:rPr>
        <w:t>, Y. (2010). Corporate Social Reporting: Empirical Evidence from Indonesia Stock Exchange.  International Journal of Islamic and Middle Eastern Finance and Management, 3(3), 241-252.</w:t>
      </w:r>
    </w:p>
    <w:p w14:paraId="2D67C87C"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[7] Healy, P. and Palepu, G. (1993), “The Effect of Firms’ Financial Disclosure Strategies on Stock Prices”. Accounting Horizons, 7(March), 1-11.</w:t>
      </w:r>
    </w:p>
    <w:p w14:paraId="0182F612"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[8] Collet, P., </w:t>
      </w:r>
      <w:proofErr w:type="spellStart"/>
      <w:r w:rsidRPr="001D7BD5">
        <w:rPr>
          <w:rFonts w:asciiTheme="majorBidi" w:hAnsiTheme="majorBidi" w:cstheme="majorBidi"/>
          <w:sz w:val="18"/>
          <w:szCs w:val="18"/>
        </w:rPr>
        <w:t>Hrasky</w:t>
      </w:r>
      <w:proofErr w:type="spellEnd"/>
      <w:r w:rsidRPr="001D7BD5">
        <w:rPr>
          <w:rFonts w:asciiTheme="majorBidi" w:hAnsiTheme="majorBidi" w:cstheme="majorBidi"/>
          <w:sz w:val="18"/>
          <w:szCs w:val="18"/>
        </w:rPr>
        <w:t>, S. (2005). Voluntary Disclosure of Corporate Governance Practices by Listed Australian Companies. Blackwell Publishing Ltd, Vol. 13, No. 2, pp. 188-199.</w:t>
      </w:r>
    </w:p>
    <w:p w14:paraId="1826CCC9"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[9] Williams, S.M. and Pei, C.A.H.W. (1999). Corporate social disclosures by listed companies on their web sites: An international comparison. The International Journal of Accounting, 34(3), 389-419. </w:t>
      </w:r>
    </w:p>
    <w:p w14:paraId="238AEFFF" w14:textId="77777777" w:rsidR="00775AA2" w:rsidRPr="001D7BD5" w:rsidRDefault="00775AA2" w:rsidP="00775AA2">
      <w:pPr>
        <w:bidi w:val="0"/>
        <w:jc w:val="both"/>
        <w:rPr>
          <w:rFonts w:asciiTheme="majorBidi" w:hAnsiTheme="majorBidi" w:cstheme="majorBidi"/>
          <w:sz w:val="18"/>
          <w:szCs w:val="18"/>
          <w:lang w:val="en-GB"/>
        </w:rPr>
      </w:pPr>
      <w:r w:rsidRPr="001D7BD5">
        <w:rPr>
          <w:rFonts w:asciiTheme="majorBidi" w:hAnsiTheme="majorBidi" w:cstheme="majorBidi"/>
          <w:sz w:val="18"/>
          <w:szCs w:val="18"/>
          <w:lang w:val="en-GB"/>
        </w:rPr>
        <w:t xml:space="preserve">[10] </w:t>
      </w:r>
      <w:proofErr w:type="spellStart"/>
      <w:r w:rsidRPr="001D7BD5">
        <w:rPr>
          <w:rFonts w:asciiTheme="majorBidi" w:hAnsiTheme="majorBidi" w:cstheme="majorBidi"/>
          <w:sz w:val="18"/>
          <w:szCs w:val="18"/>
          <w:lang w:val="en-GB"/>
        </w:rPr>
        <w:t>Dwekat</w:t>
      </w:r>
      <w:proofErr w:type="spellEnd"/>
      <w:r w:rsidRPr="001D7BD5">
        <w:rPr>
          <w:rFonts w:asciiTheme="majorBidi" w:hAnsiTheme="majorBidi" w:cstheme="majorBidi"/>
          <w:sz w:val="18"/>
          <w:szCs w:val="18"/>
          <w:lang w:val="en-GB"/>
        </w:rPr>
        <w:t xml:space="preserve">, A., </w:t>
      </w:r>
      <w:proofErr w:type="spellStart"/>
      <w:r w:rsidRPr="001D7BD5">
        <w:rPr>
          <w:rFonts w:asciiTheme="majorBidi" w:hAnsiTheme="majorBidi" w:cstheme="majorBidi"/>
          <w:sz w:val="18"/>
          <w:szCs w:val="18"/>
          <w:lang w:val="en-GB"/>
        </w:rPr>
        <w:t>Meqbel</w:t>
      </w:r>
      <w:proofErr w:type="spellEnd"/>
      <w:r w:rsidRPr="001D7BD5">
        <w:rPr>
          <w:rFonts w:asciiTheme="majorBidi" w:hAnsiTheme="majorBidi" w:cstheme="majorBidi"/>
          <w:sz w:val="18"/>
          <w:szCs w:val="18"/>
          <w:lang w:val="en-GB"/>
        </w:rPr>
        <w:t xml:space="preserve">, R., </w:t>
      </w:r>
      <w:proofErr w:type="spellStart"/>
      <w:r w:rsidRPr="001D7BD5">
        <w:rPr>
          <w:rFonts w:asciiTheme="majorBidi" w:hAnsiTheme="majorBidi" w:cstheme="majorBidi"/>
          <w:sz w:val="18"/>
          <w:szCs w:val="18"/>
          <w:lang w:val="en-GB"/>
        </w:rPr>
        <w:t>Seguí</w:t>
      </w:r>
      <w:proofErr w:type="spellEnd"/>
      <w:r w:rsidRPr="001D7BD5">
        <w:rPr>
          <w:rFonts w:asciiTheme="majorBidi" w:hAnsiTheme="majorBidi" w:cstheme="majorBidi"/>
          <w:sz w:val="18"/>
          <w:szCs w:val="18"/>
          <w:lang w:val="en-GB"/>
        </w:rPr>
        <w:t xml:space="preserve">‐Mas, E., &amp; </w:t>
      </w:r>
      <w:proofErr w:type="spellStart"/>
      <w:r w:rsidRPr="001D7BD5">
        <w:rPr>
          <w:rFonts w:asciiTheme="majorBidi" w:hAnsiTheme="majorBidi" w:cstheme="majorBidi"/>
          <w:sz w:val="18"/>
          <w:szCs w:val="18"/>
          <w:lang w:val="en-GB"/>
        </w:rPr>
        <w:t>Tormo‐Carbó</w:t>
      </w:r>
      <w:proofErr w:type="spellEnd"/>
      <w:r w:rsidRPr="001D7BD5">
        <w:rPr>
          <w:rFonts w:asciiTheme="majorBidi" w:hAnsiTheme="majorBidi" w:cstheme="majorBidi"/>
          <w:sz w:val="18"/>
          <w:szCs w:val="18"/>
          <w:lang w:val="en-GB"/>
        </w:rPr>
        <w:t>, G. (2022b). The role of the audit committee in enhancing the credibility of CSR disclosure: Evidence from STOXX Europe 600 members. Business Ethics, the Environment &amp; Responsibility, 31(3), 718-740.</w:t>
      </w:r>
    </w:p>
    <w:p w14:paraId="2425D8BA"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[11] Cormier, D., </w:t>
      </w:r>
      <w:proofErr w:type="spellStart"/>
      <w:r w:rsidRPr="001D7BD5">
        <w:rPr>
          <w:rFonts w:asciiTheme="majorBidi" w:hAnsiTheme="majorBidi" w:cstheme="majorBidi"/>
          <w:sz w:val="18"/>
          <w:szCs w:val="18"/>
        </w:rPr>
        <w:t>Ledoux</w:t>
      </w:r>
      <w:proofErr w:type="spellEnd"/>
      <w:r w:rsidRPr="001D7BD5">
        <w:rPr>
          <w:rFonts w:asciiTheme="majorBidi" w:hAnsiTheme="majorBidi" w:cstheme="majorBidi"/>
          <w:sz w:val="18"/>
          <w:szCs w:val="18"/>
        </w:rPr>
        <w:t xml:space="preserve">, M.-J. and </w:t>
      </w:r>
      <w:proofErr w:type="spellStart"/>
      <w:r w:rsidRPr="001D7BD5">
        <w:rPr>
          <w:rFonts w:asciiTheme="majorBidi" w:hAnsiTheme="majorBidi" w:cstheme="majorBidi"/>
          <w:sz w:val="18"/>
          <w:szCs w:val="18"/>
        </w:rPr>
        <w:t>Magnan</w:t>
      </w:r>
      <w:proofErr w:type="spellEnd"/>
      <w:r w:rsidRPr="001D7BD5">
        <w:rPr>
          <w:rFonts w:asciiTheme="majorBidi" w:hAnsiTheme="majorBidi" w:cstheme="majorBidi"/>
          <w:sz w:val="18"/>
          <w:szCs w:val="18"/>
        </w:rPr>
        <w:t>, M. (2011). The Informational Contribution of Social and Environmental Disclosures for Investors. Management Decision, 49(8), 1276-1304.</w:t>
      </w:r>
    </w:p>
    <w:p w14:paraId="5AF8138D"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[12] </w:t>
      </w:r>
      <w:proofErr w:type="spellStart"/>
      <w:r w:rsidRPr="001D7BD5">
        <w:rPr>
          <w:rFonts w:asciiTheme="majorBidi" w:hAnsiTheme="majorBidi" w:cstheme="majorBidi"/>
          <w:sz w:val="18"/>
          <w:szCs w:val="18"/>
        </w:rPr>
        <w:t>Barako</w:t>
      </w:r>
      <w:proofErr w:type="spellEnd"/>
      <w:r w:rsidRPr="001D7BD5">
        <w:rPr>
          <w:rFonts w:asciiTheme="majorBidi" w:hAnsiTheme="majorBidi" w:cstheme="majorBidi"/>
          <w:sz w:val="18"/>
          <w:szCs w:val="18"/>
        </w:rPr>
        <w:t xml:space="preserve">, D., Hancock, P., and </w:t>
      </w:r>
      <w:proofErr w:type="spellStart"/>
      <w:r w:rsidRPr="001D7BD5">
        <w:rPr>
          <w:rFonts w:asciiTheme="majorBidi" w:hAnsiTheme="majorBidi" w:cstheme="majorBidi"/>
          <w:sz w:val="18"/>
          <w:szCs w:val="18"/>
        </w:rPr>
        <w:t>Izan</w:t>
      </w:r>
      <w:proofErr w:type="spellEnd"/>
      <w:r w:rsidRPr="001D7BD5">
        <w:rPr>
          <w:rFonts w:asciiTheme="majorBidi" w:hAnsiTheme="majorBidi" w:cstheme="majorBidi"/>
          <w:sz w:val="18"/>
          <w:szCs w:val="18"/>
        </w:rPr>
        <w:t xml:space="preserve">, H. (2006). Factors influencing voluntary corporate disclosure by Kenyan firms. Corporate Governance: An International Review, 14(2), 107–125. </w:t>
      </w:r>
      <w:hyperlink r:id="rId11" w:history="1">
        <w:r w:rsidRPr="001D7BD5">
          <w:rPr>
            <w:rStyle w:val="Hyperlink"/>
            <w:rFonts w:asciiTheme="majorBidi" w:hAnsiTheme="majorBidi" w:cstheme="majorBidi"/>
            <w:color w:val="auto"/>
            <w:sz w:val="18"/>
            <w:szCs w:val="18"/>
            <w:u w:val="none"/>
          </w:rPr>
          <w:t>http://dx.doi.org/10.1111/j.1467-8683.2006.00491</w:t>
        </w:r>
      </w:hyperlink>
      <w:r w:rsidRPr="001D7BD5">
        <w:rPr>
          <w:rFonts w:asciiTheme="majorBidi" w:hAnsiTheme="majorBidi" w:cstheme="majorBidi"/>
          <w:sz w:val="18"/>
          <w:szCs w:val="18"/>
        </w:rPr>
        <w:t>.</w:t>
      </w:r>
    </w:p>
    <w:p w14:paraId="7A12DE59"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[13] Healy, M., and Palepu, G., (2001). Information asymmetry, corporate disclosure, and the capital markets: A review of the empirical disclosure literature. Journal of Accounting and Economics, 31(1–3), 405–440. </w:t>
      </w:r>
      <w:hyperlink r:id="rId12" w:history="1">
        <w:r w:rsidRPr="001D7BD5">
          <w:rPr>
            <w:rStyle w:val="Hyperlink"/>
            <w:rFonts w:asciiTheme="majorBidi" w:hAnsiTheme="majorBidi" w:cstheme="majorBidi"/>
            <w:color w:val="auto"/>
            <w:sz w:val="18"/>
            <w:szCs w:val="18"/>
            <w:u w:val="none"/>
          </w:rPr>
          <w:t>http://dx.doi.org/10.1016/S0165-4101(01)00018-0</w:t>
        </w:r>
      </w:hyperlink>
      <w:r w:rsidRPr="001D7BD5">
        <w:rPr>
          <w:rFonts w:asciiTheme="majorBidi" w:hAnsiTheme="majorBidi" w:cstheme="majorBidi"/>
          <w:sz w:val="18"/>
          <w:szCs w:val="18"/>
        </w:rPr>
        <w:t>.</w:t>
      </w:r>
    </w:p>
    <w:p w14:paraId="40E907D9"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lastRenderedPageBreak/>
        <w:t xml:space="preserve">[14] </w:t>
      </w:r>
      <w:proofErr w:type="spellStart"/>
      <w:r w:rsidRPr="001D7BD5">
        <w:rPr>
          <w:rFonts w:asciiTheme="majorBidi" w:hAnsiTheme="majorBidi" w:cstheme="majorBidi"/>
          <w:sz w:val="18"/>
          <w:szCs w:val="18"/>
        </w:rPr>
        <w:t>Singhvi</w:t>
      </w:r>
      <w:proofErr w:type="spellEnd"/>
      <w:r w:rsidRPr="001D7BD5">
        <w:rPr>
          <w:rFonts w:asciiTheme="majorBidi" w:hAnsiTheme="majorBidi" w:cstheme="majorBidi"/>
          <w:sz w:val="18"/>
          <w:szCs w:val="18"/>
        </w:rPr>
        <w:t>, S., and Desai, H., (1971). An empirical analysis of the quality of corporate financial disclosure. The Accounting Review, 46(1): 120-138.</w:t>
      </w:r>
    </w:p>
    <w:p w14:paraId="46DEF210"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[15] </w:t>
      </w:r>
      <w:proofErr w:type="spellStart"/>
      <w:r w:rsidRPr="001D7BD5">
        <w:rPr>
          <w:rFonts w:asciiTheme="majorBidi" w:hAnsiTheme="majorBidi" w:cstheme="majorBidi"/>
          <w:sz w:val="18"/>
          <w:szCs w:val="18"/>
        </w:rPr>
        <w:t>Garas</w:t>
      </w:r>
      <w:proofErr w:type="spellEnd"/>
      <w:r w:rsidRPr="001D7BD5">
        <w:rPr>
          <w:rFonts w:asciiTheme="majorBidi" w:hAnsiTheme="majorBidi" w:cstheme="majorBidi"/>
          <w:sz w:val="18"/>
          <w:szCs w:val="18"/>
        </w:rPr>
        <w:t xml:space="preserve">, S., </w:t>
      </w:r>
      <w:proofErr w:type="spellStart"/>
      <w:r w:rsidRPr="001D7BD5">
        <w:rPr>
          <w:rFonts w:asciiTheme="majorBidi" w:hAnsiTheme="majorBidi" w:cstheme="majorBidi"/>
          <w:sz w:val="18"/>
          <w:szCs w:val="18"/>
        </w:rPr>
        <w:t>ElMassah</w:t>
      </w:r>
      <w:proofErr w:type="spellEnd"/>
      <w:r w:rsidRPr="001D7BD5">
        <w:rPr>
          <w:rFonts w:asciiTheme="majorBidi" w:hAnsiTheme="majorBidi" w:cstheme="majorBidi"/>
          <w:sz w:val="18"/>
          <w:szCs w:val="18"/>
        </w:rPr>
        <w:t>, S. (2018). Corporate governance and corporate social responsibility disclosures: The case of GCC countries. Critical perspectives on international business, 14(1), 2-26.</w:t>
      </w:r>
    </w:p>
    <w:p w14:paraId="71F92EAB"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lang w:val="en-NZ"/>
        </w:rPr>
        <w:t xml:space="preserve">[16] </w:t>
      </w:r>
      <w:proofErr w:type="spellStart"/>
      <w:r w:rsidRPr="001D7BD5">
        <w:rPr>
          <w:rFonts w:asciiTheme="majorBidi" w:hAnsiTheme="majorBidi" w:cstheme="majorBidi"/>
          <w:sz w:val="18"/>
          <w:szCs w:val="18"/>
          <w:lang w:val="en-NZ"/>
        </w:rPr>
        <w:t>Abeysekera</w:t>
      </w:r>
      <w:proofErr w:type="spellEnd"/>
      <w:r w:rsidRPr="001D7BD5">
        <w:rPr>
          <w:rFonts w:asciiTheme="majorBidi" w:hAnsiTheme="majorBidi" w:cstheme="majorBidi"/>
          <w:sz w:val="18"/>
          <w:szCs w:val="18"/>
          <w:lang w:val="en-NZ"/>
        </w:rPr>
        <w:t xml:space="preserve">, I., &amp; Guthrie, J. (2005). An empirical investigation of annual reporting trends of intellectual capital in Sri Lanka. Critical Perspectives on Accounting, 16(3), 151-163. </w:t>
      </w:r>
      <w:hyperlink r:id="rId13" w:history="1">
        <w:r w:rsidRPr="001D7BD5">
          <w:rPr>
            <w:rStyle w:val="Hyperlink"/>
            <w:rFonts w:asciiTheme="majorBidi" w:hAnsiTheme="majorBidi" w:cstheme="majorBidi"/>
            <w:color w:val="auto"/>
            <w:sz w:val="18"/>
            <w:szCs w:val="18"/>
            <w:u w:val="none"/>
            <w:lang w:val="en-NZ"/>
          </w:rPr>
          <w:t>http://dx.doi.org/10.1016/S1045-2354(03)00059-5</w:t>
        </w:r>
      </w:hyperlink>
      <w:r w:rsidRPr="001D7BD5">
        <w:rPr>
          <w:rFonts w:asciiTheme="majorBidi" w:hAnsiTheme="majorBidi" w:cstheme="majorBidi"/>
          <w:sz w:val="18"/>
          <w:szCs w:val="18"/>
        </w:rPr>
        <w:t>.</w:t>
      </w:r>
    </w:p>
    <w:p w14:paraId="7F8054AC" w14:textId="77777777" w:rsidR="00775AA2" w:rsidRPr="001D7BD5" w:rsidRDefault="00775AA2" w:rsidP="00775AA2">
      <w:pPr>
        <w:bidi w:val="0"/>
        <w:jc w:val="both"/>
        <w:rPr>
          <w:rFonts w:asciiTheme="majorBidi" w:hAnsiTheme="majorBidi" w:cstheme="majorBidi"/>
          <w:sz w:val="18"/>
          <w:szCs w:val="18"/>
          <w:lang w:val="es-ES_tradnl"/>
        </w:rPr>
      </w:pPr>
      <w:r w:rsidRPr="001D7BD5">
        <w:rPr>
          <w:rFonts w:asciiTheme="majorBidi" w:hAnsiTheme="majorBidi" w:cstheme="majorBidi"/>
          <w:sz w:val="18"/>
          <w:szCs w:val="18"/>
        </w:rPr>
        <w:t xml:space="preserve">[17] </w:t>
      </w:r>
      <w:proofErr w:type="spellStart"/>
      <w:r w:rsidRPr="001D7BD5">
        <w:rPr>
          <w:rFonts w:asciiTheme="majorBidi" w:hAnsiTheme="majorBidi" w:cstheme="majorBidi"/>
          <w:sz w:val="18"/>
          <w:szCs w:val="18"/>
        </w:rPr>
        <w:t>Mardawi</w:t>
      </w:r>
      <w:proofErr w:type="spellEnd"/>
      <w:r w:rsidRPr="001D7BD5">
        <w:rPr>
          <w:rFonts w:asciiTheme="majorBidi" w:hAnsiTheme="majorBidi" w:cstheme="majorBidi"/>
          <w:sz w:val="18"/>
          <w:szCs w:val="18"/>
        </w:rPr>
        <w:t>, Z., </w:t>
      </w:r>
      <w:hyperlink r:id="rId14" w:tooltip="Elies Seguí-Mas" w:history="1">
        <w:r w:rsidRPr="001D7BD5">
          <w:rPr>
            <w:rStyle w:val="Hyperlink"/>
            <w:rFonts w:asciiTheme="majorBidi" w:hAnsiTheme="majorBidi" w:cstheme="majorBidi"/>
            <w:color w:val="auto"/>
            <w:sz w:val="18"/>
            <w:szCs w:val="18"/>
            <w:u w:val="none"/>
          </w:rPr>
          <w:t>Seguí-Mas, E.</w:t>
        </w:r>
      </w:hyperlink>
      <w:r w:rsidRPr="001D7BD5">
        <w:rPr>
          <w:rFonts w:asciiTheme="majorBidi" w:hAnsiTheme="majorBidi" w:cstheme="majorBidi"/>
          <w:sz w:val="18"/>
          <w:szCs w:val="18"/>
        </w:rPr>
        <w:t> and </w:t>
      </w:r>
      <w:hyperlink r:id="rId15" w:tooltip="Guillermina Tormo-Carbó" w:history="1">
        <w:r w:rsidRPr="001D7BD5">
          <w:rPr>
            <w:rStyle w:val="Hyperlink"/>
            <w:rFonts w:asciiTheme="majorBidi" w:hAnsiTheme="majorBidi" w:cstheme="majorBidi"/>
            <w:color w:val="auto"/>
            <w:sz w:val="18"/>
            <w:szCs w:val="18"/>
            <w:u w:val="none"/>
          </w:rPr>
          <w:t>Tormo-Carbó, G.</w:t>
        </w:r>
      </w:hyperlink>
      <w:r w:rsidRPr="001D7BD5">
        <w:rPr>
          <w:rFonts w:asciiTheme="majorBidi" w:hAnsiTheme="majorBidi" w:cstheme="majorBidi"/>
          <w:sz w:val="18"/>
          <w:szCs w:val="18"/>
        </w:rPr>
        <w:t> (2023), “Wave after wave: unboxing 40 years of auditing ethics research”, </w:t>
      </w:r>
      <w:hyperlink r:id="rId16" w:history="1">
        <w:r w:rsidRPr="001D7BD5">
          <w:rPr>
            <w:rStyle w:val="Hyperlink"/>
            <w:rFonts w:asciiTheme="majorBidi" w:hAnsiTheme="majorBidi" w:cstheme="majorBidi"/>
            <w:color w:val="auto"/>
            <w:sz w:val="18"/>
            <w:szCs w:val="18"/>
            <w:u w:val="none"/>
          </w:rPr>
          <w:t>Meditari Accountancy Research</w:t>
        </w:r>
      </w:hyperlink>
      <w:r w:rsidRPr="001D7BD5">
        <w:rPr>
          <w:rFonts w:asciiTheme="majorBidi" w:hAnsiTheme="majorBidi" w:cstheme="majorBidi"/>
          <w:sz w:val="18"/>
          <w:szCs w:val="18"/>
        </w:rPr>
        <w:t>, Vol. ahead-of-print No. ahead-of-print. </w:t>
      </w:r>
      <w:hyperlink r:id="rId17" w:tooltip="DOI: https://doi.org/10.1108/MEDAR-05-2022-1698" w:history="1">
        <w:r w:rsidRPr="001D7BD5">
          <w:rPr>
            <w:rStyle w:val="Hyperlink"/>
            <w:rFonts w:asciiTheme="majorBidi" w:hAnsiTheme="majorBidi" w:cstheme="majorBidi"/>
            <w:color w:val="auto"/>
            <w:sz w:val="18"/>
            <w:szCs w:val="18"/>
            <w:u w:val="none"/>
            <w:lang w:val="es-ES_tradnl"/>
          </w:rPr>
          <w:t>https://doi.org/10.1108/MEDAR-05-2022-1698</w:t>
        </w:r>
      </w:hyperlink>
    </w:p>
    <w:p w14:paraId="793D42BE"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[18] Zaid, M.A.A., Wang, M. and </w:t>
      </w:r>
      <w:proofErr w:type="spellStart"/>
      <w:r w:rsidRPr="001D7BD5">
        <w:rPr>
          <w:rFonts w:asciiTheme="majorBidi" w:hAnsiTheme="majorBidi" w:cstheme="majorBidi"/>
          <w:sz w:val="18"/>
          <w:szCs w:val="18"/>
        </w:rPr>
        <w:t>Abuhijleh</w:t>
      </w:r>
      <w:proofErr w:type="spellEnd"/>
      <w:r w:rsidRPr="001D7BD5">
        <w:rPr>
          <w:rFonts w:asciiTheme="majorBidi" w:hAnsiTheme="majorBidi" w:cstheme="majorBidi"/>
          <w:sz w:val="18"/>
          <w:szCs w:val="18"/>
        </w:rPr>
        <w:t xml:space="preserve">, S.T.F. (2019), “The effect of corporate governance practices on corporate social responsibility disclosure”, Journal of Global Responsibility, Vol. 10 No. 2, pp. 134-160, </w:t>
      </w:r>
      <w:proofErr w:type="spellStart"/>
      <w:r w:rsidRPr="001D7BD5">
        <w:rPr>
          <w:rFonts w:asciiTheme="majorBidi" w:hAnsiTheme="majorBidi" w:cstheme="majorBidi"/>
          <w:sz w:val="18"/>
          <w:szCs w:val="18"/>
        </w:rPr>
        <w:t>doi</w:t>
      </w:r>
      <w:proofErr w:type="spellEnd"/>
      <w:r w:rsidRPr="001D7BD5">
        <w:rPr>
          <w:rFonts w:asciiTheme="majorBidi" w:hAnsiTheme="majorBidi" w:cstheme="majorBidi"/>
          <w:sz w:val="18"/>
          <w:szCs w:val="18"/>
        </w:rPr>
        <w:t>: 10.1108/JGR-10-2018-0053.</w:t>
      </w:r>
    </w:p>
    <w:p w14:paraId="3E366165"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[19] </w:t>
      </w:r>
      <w:proofErr w:type="spellStart"/>
      <w:r w:rsidRPr="001D7BD5">
        <w:rPr>
          <w:rFonts w:asciiTheme="majorBidi" w:hAnsiTheme="majorBidi" w:cstheme="majorBidi"/>
          <w:sz w:val="18"/>
          <w:szCs w:val="18"/>
        </w:rPr>
        <w:t>Elfeky</w:t>
      </w:r>
      <w:proofErr w:type="spellEnd"/>
      <w:r w:rsidRPr="001D7BD5">
        <w:rPr>
          <w:rFonts w:asciiTheme="majorBidi" w:hAnsiTheme="majorBidi" w:cstheme="majorBidi"/>
          <w:sz w:val="18"/>
          <w:szCs w:val="18"/>
        </w:rPr>
        <w:t>, M., (2017). The impact of corporate governance on voluntary disclosure in emerging markets: The case of Egypt. Australian Journal of Basic and Applied Sciences, 25-41</w:t>
      </w:r>
    </w:p>
    <w:p w14:paraId="47432899"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[20] </w:t>
      </w:r>
      <w:proofErr w:type="spellStart"/>
      <w:r w:rsidRPr="001D7BD5">
        <w:rPr>
          <w:rFonts w:asciiTheme="majorBidi" w:hAnsiTheme="majorBidi" w:cstheme="majorBidi"/>
          <w:sz w:val="18"/>
          <w:szCs w:val="18"/>
        </w:rPr>
        <w:t>Sartawi</w:t>
      </w:r>
      <w:proofErr w:type="spellEnd"/>
      <w:r w:rsidRPr="001D7BD5">
        <w:rPr>
          <w:rFonts w:asciiTheme="majorBidi" w:hAnsiTheme="majorBidi" w:cstheme="majorBidi"/>
          <w:sz w:val="18"/>
          <w:szCs w:val="18"/>
        </w:rPr>
        <w:t xml:space="preserve">, I., </w:t>
      </w:r>
      <w:proofErr w:type="spellStart"/>
      <w:r w:rsidRPr="001D7BD5">
        <w:rPr>
          <w:rFonts w:asciiTheme="majorBidi" w:hAnsiTheme="majorBidi" w:cstheme="majorBidi"/>
          <w:sz w:val="18"/>
          <w:szCs w:val="18"/>
        </w:rPr>
        <w:t>Hindawi</w:t>
      </w:r>
      <w:proofErr w:type="spellEnd"/>
      <w:r w:rsidRPr="001D7BD5">
        <w:rPr>
          <w:rFonts w:asciiTheme="majorBidi" w:hAnsiTheme="majorBidi" w:cstheme="majorBidi"/>
          <w:sz w:val="18"/>
          <w:szCs w:val="18"/>
        </w:rPr>
        <w:t xml:space="preserve">, R., </w:t>
      </w:r>
      <w:proofErr w:type="spellStart"/>
      <w:r w:rsidRPr="001D7BD5">
        <w:rPr>
          <w:rFonts w:asciiTheme="majorBidi" w:hAnsiTheme="majorBidi" w:cstheme="majorBidi"/>
          <w:sz w:val="18"/>
          <w:szCs w:val="18"/>
        </w:rPr>
        <w:t>Bsoul</w:t>
      </w:r>
      <w:proofErr w:type="spellEnd"/>
      <w:r w:rsidRPr="001D7BD5">
        <w:rPr>
          <w:rFonts w:asciiTheme="majorBidi" w:hAnsiTheme="majorBidi" w:cstheme="majorBidi"/>
          <w:sz w:val="18"/>
          <w:szCs w:val="18"/>
        </w:rPr>
        <w:t>, R., and Ali, A. (2014). Board Composition, Firm Characteristics, and Voluntary Disclosure: The Case of Jordanian Firms Listed on the Amman Stock Exchange. International Business Research; Vol. 7, No. 6.</w:t>
      </w:r>
    </w:p>
    <w:p w14:paraId="7679454E"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[21] </w:t>
      </w:r>
      <w:proofErr w:type="spellStart"/>
      <w:r w:rsidRPr="001D7BD5">
        <w:rPr>
          <w:rFonts w:asciiTheme="majorBidi" w:hAnsiTheme="majorBidi" w:cstheme="majorBidi"/>
          <w:sz w:val="18"/>
          <w:szCs w:val="18"/>
        </w:rPr>
        <w:t>Soliman</w:t>
      </w:r>
      <w:proofErr w:type="spellEnd"/>
      <w:r w:rsidRPr="001D7BD5">
        <w:rPr>
          <w:rFonts w:asciiTheme="majorBidi" w:hAnsiTheme="majorBidi" w:cstheme="majorBidi"/>
          <w:sz w:val="18"/>
          <w:szCs w:val="18"/>
        </w:rPr>
        <w:t xml:space="preserve">, M., </w:t>
      </w:r>
      <w:proofErr w:type="spellStart"/>
      <w:r w:rsidRPr="001D7BD5">
        <w:rPr>
          <w:rFonts w:asciiTheme="majorBidi" w:hAnsiTheme="majorBidi" w:cstheme="majorBidi"/>
          <w:sz w:val="18"/>
          <w:szCs w:val="18"/>
        </w:rPr>
        <w:t>Ragab</w:t>
      </w:r>
      <w:proofErr w:type="spellEnd"/>
      <w:r w:rsidRPr="001D7BD5">
        <w:rPr>
          <w:rFonts w:asciiTheme="majorBidi" w:hAnsiTheme="majorBidi" w:cstheme="majorBidi"/>
          <w:sz w:val="18"/>
          <w:szCs w:val="18"/>
        </w:rPr>
        <w:t xml:space="preserve">, A., and </w:t>
      </w:r>
      <w:proofErr w:type="spellStart"/>
      <w:r w:rsidRPr="001D7BD5">
        <w:rPr>
          <w:rFonts w:asciiTheme="majorBidi" w:hAnsiTheme="majorBidi" w:cstheme="majorBidi"/>
          <w:sz w:val="18"/>
          <w:szCs w:val="18"/>
        </w:rPr>
        <w:t>Eldin</w:t>
      </w:r>
      <w:proofErr w:type="spellEnd"/>
      <w:r w:rsidRPr="001D7BD5">
        <w:rPr>
          <w:rFonts w:asciiTheme="majorBidi" w:hAnsiTheme="majorBidi" w:cstheme="majorBidi"/>
          <w:sz w:val="18"/>
          <w:szCs w:val="18"/>
        </w:rPr>
        <w:t>, M., (2014). Board composition, ownership structure and voluntary disclosure: an empirical study of the listed companies in Egypt. Corporate Ownership &amp; Control, Volume 11, Issue 2.</w:t>
      </w:r>
    </w:p>
    <w:p w14:paraId="2564A55E"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[22] Ho, P., and Taylor, G., (2013). Corporate governance and different types of voluntary disclosure: Evidence from Malaysian listed firms. Pacific Accounting Review, Vol. 25 Issue: 1, 4-29, http:// doi.org/10.1108/01140581311318940.</w:t>
      </w:r>
    </w:p>
    <w:p w14:paraId="2128CD82"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[23] </w:t>
      </w:r>
      <w:proofErr w:type="spellStart"/>
      <w:r w:rsidRPr="001D7BD5">
        <w:rPr>
          <w:rFonts w:asciiTheme="majorBidi" w:hAnsiTheme="majorBidi" w:cstheme="majorBidi"/>
          <w:sz w:val="18"/>
          <w:szCs w:val="18"/>
        </w:rPr>
        <w:t>Patelli</w:t>
      </w:r>
      <w:proofErr w:type="spellEnd"/>
      <w:r w:rsidRPr="001D7BD5">
        <w:rPr>
          <w:rFonts w:asciiTheme="majorBidi" w:hAnsiTheme="majorBidi" w:cstheme="majorBidi"/>
          <w:sz w:val="18"/>
          <w:szCs w:val="18"/>
        </w:rPr>
        <w:t xml:space="preserve">, L., and </w:t>
      </w:r>
      <w:proofErr w:type="spellStart"/>
      <w:r w:rsidRPr="001D7BD5">
        <w:rPr>
          <w:rFonts w:asciiTheme="majorBidi" w:hAnsiTheme="majorBidi" w:cstheme="majorBidi"/>
          <w:sz w:val="18"/>
          <w:szCs w:val="18"/>
        </w:rPr>
        <w:t>Prencipe</w:t>
      </w:r>
      <w:proofErr w:type="spellEnd"/>
      <w:r w:rsidRPr="001D7BD5">
        <w:rPr>
          <w:rFonts w:asciiTheme="majorBidi" w:hAnsiTheme="majorBidi" w:cstheme="majorBidi"/>
          <w:sz w:val="18"/>
          <w:szCs w:val="18"/>
        </w:rPr>
        <w:t xml:space="preserve">, A. (2007). The relationship between voluntary disclosure and independent directors in the presence of a dominant shareholder. European Accounting Review, 16(1), 5–33. </w:t>
      </w:r>
      <w:hyperlink r:id="rId18" w:history="1">
        <w:r w:rsidRPr="001D7BD5">
          <w:rPr>
            <w:rStyle w:val="Hyperlink"/>
            <w:rFonts w:asciiTheme="majorBidi" w:hAnsiTheme="majorBidi" w:cstheme="majorBidi"/>
            <w:color w:val="auto"/>
            <w:sz w:val="18"/>
            <w:szCs w:val="18"/>
            <w:u w:val="none"/>
          </w:rPr>
          <w:t>http://dx.doi.org/10.1080/09638180701265820</w:t>
        </w:r>
      </w:hyperlink>
      <w:r w:rsidRPr="001D7BD5">
        <w:rPr>
          <w:rFonts w:asciiTheme="majorBidi" w:hAnsiTheme="majorBidi" w:cstheme="majorBidi"/>
          <w:sz w:val="18"/>
          <w:szCs w:val="18"/>
        </w:rPr>
        <w:t>.</w:t>
      </w:r>
    </w:p>
    <w:p w14:paraId="3560BD35"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[24] </w:t>
      </w:r>
      <w:proofErr w:type="spellStart"/>
      <w:r w:rsidRPr="001D7BD5">
        <w:rPr>
          <w:rFonts w:asciiTheme="majorBidi" w:hAnsiTheme="majorBidi" w:cstheme="majorBidi"/>
          <w:sz w:val="18"/>
          <w:szCs w:val="18"/>
        </w:rPr>
        <w:t>Htay</w:t>
      </w:r>
      <w:proofErr w:type="spellEnd"/>
      <w:r w:rsidRPr="001D7BD5">
        <w:rPr>
          <w:rFonts w:asciiTheme="majorBidi" w:hAnsiTheme="majorBidi" w:cstheme="majorBidi"/>
          <w:sz w:val="18"/>
          <w:szCs w:val="18"/>
        </w:rPr>
        <w:t>, N., (2012). The impact of corporate governance on the voluntary accounting information disclosure in Malaysian listed banks. Global Review of Accounting &amp; Finance, 3(2): 128-142.</w:t>
      </w:r>
    </w:p>
    <w:p w14:paraId="5B4770F2"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[25] </w:t>
      </w:r>
      <w:proofErr w:type="spellStart"/>
      <w:r w:rsidRPr="001D7BD5">
        <w:rPr>
          <w:rFonts w:asciiTheme="majorBidi" w:hAnsiTheme="majorBidi" w:cstheme="majorBidi"/>
          <w:sz w:val="18"/>
          <w:szCs w:val="18"/>
        </w:rPr>
        <w:t>Sweiti</w:t>
      </w:r>
      <w:proofErr w:type="spellEnd"/>
      <w:r w:rsidRPr="001D7BD5">
        <w:rPr>
          <w:rFonts w:asciiTheme="majorBidi" w:hAnsiTheme="majorBidi" w:cstheme="majorBidi"/>
          <w:sz w:val="18"/>
          <w:szCs w:val="18"/>
        </w:rPr>
        <w:t xml:space="preserve">, I., and </w:t>
      </w:r>
      <w:proofErr w:type="spellStart"/>
      <w:r w:rsidRPr="001D7BD5">
        <w:rPr>
          <w:rFonts w:asciiTheme="majorBidi" w:hAnsiTheme="majorBidi" w:cstheme="majorBidi"/>
          <w:sz w:val="18"/>
          <w:szCs w:val="18"/>
        </w:rPr>
        <w:t>Attaya</w:t>
      </w:r>
      <w:proofErr w:type="spellEnd"/>
      <w:r w:rsidRPr="001D7BD5">
        <w:rPr>
          <w:rFonts w:asciiTheme="majorBidi" w:hAnsiTheme="majorBidi" w:cstheme="majorBidi"/>
          <w:sz w:val="18"/>
          <w:szCs w:val="18"/>
        </w:rPr>
        <w:t>, O. (2013). Critical factors influencing voluntary disclosure: the Palestine exchange "PEX."  Global Journal of Management and Business Research Finance, Vol. 13 Issue. 6.</w:t>
      </w:r>
    </w:p>
    <w:p w14:paraId="5EC4D3D2"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[26] Ibrahim, A. and </w:t>
      </w:r>
      <w:proofErr w:type="spellStart"/>
      <w:r w:rsidRPr="001D7BD5">
        <w:rPr>
          <w:rFonts w:asciiTheme="majorBidi" w:hAnsiTheme="majorBidi" w:cstheme="majorBidi"/>
          <w:sz w:val="18"/>
          <w:szCs w:val="18"/>
        </w:rPr>
        <w:t>Hanefah</w:t>
      </w:r>
      <w:proofErr w:type="spellEnd"/>
      <w:r w:rsidRPr="001D7BD5">
        <w:rPr>
          <w:rFonts w:asciiTheme="majorBidi" w:hAnsiTheme="majorBidi" w:cstheme="majorBidi"/>
          <w:sz w:val="18"/>
          <w:szCs w:val="18"/>
        </w:rPr>
        <w:t xml:space="preserve">, M. (2016). Board Diversity and Corporate Social Responsibility in Jordan. Journal of Financial Reporting and Accounting, 14(2), 279-298.  </w:t>
      </w:r>
    </w:p>
    <w:p w14:paraId="3FFF0C4F"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[27] </w:t>
      </w:r>
      <w:proofErr w:type="spellStart"/>
      <w:r w:rsidRPr="001D7BD5">
        <w:rPr>
          <w:rFonts w:asciiTheme="majorBidi" w:hAnsiTheme="majorBidi" w:cstheme="majorBidi"/>
          <w:sz w:val="18"/>
          <w:szCs w:val="18"/>
        </w:rPr>
        <w:t>Sundarasen</w:t>
      </w:r>
      <w:proofErr w:type="spellEnd"/>
      <w:r w:rsidRPr="001D7BD5">
        <w:rPr>
          <w:rFonts w:asciiTheme="majorBidi" w:hAnsiTheme="majorBidi" w:cstheme="majorBidi"/>
          <w:sz w:val="18"/>
          <w:szCs w:val="18"/>
        </w:rPr>
        <w:t xml:space="preserve">, S. D., Je-Yen, T., and </w:t>
      </w:r>
      <w:proofErr w:type="spellStart"/>
      <w:r w:rsidRPr="001D7BD5">
        <w:rPr>
          <w:rFonts w:asciiTheme="majorBidi" w:hAnsiTheme="majorBidi" w:cstheme="majorBidi"/>
          <w:sz w:val="18"/>
          <w:szCs w:val="18"/>
        </w:rPr>
        <w:t>Rajangam</w:t>
      </w:r>
      <w:proofErr w:type="spellEnd"/>
      <w:r w:rsidRPr="001D7BD5">
        <w:rPr>
          <w:rFonts w:asciiTheme="majorBidi" w:hAnsiTheme="majorBidi" w:cstheme="majorBidi"/>
          <w:sz w:val="18"/>
          <w:szCs w:val="18"/>
        </w:rPr>
        <w:t>, N. (2016). Board Composition and Corporate Social Responsibility in an Emerging</w:t>
      </w:r>
    </w:p>
    <w:p w14:paraId="3688178E"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[28] </w:t>
      </w:r>
      <w:proofErr w:type="spellStart"/>
      <w:r w:rsidRPr="001D7BD5">
        <w:rPr>
          <w:rFonts w:asciiTheme="majorBidi" w:hAnsiTheme="majorBidi" w:cstheme="majorBidi"/>
          <w:sz w:val="18"/>
          <w:szCs w:val="18"/>
        </w:rPr>
        <w:t>Alareeni</w:t>
      </w:r>
      <w:proofErr w:type="spellEnd"/>
      <w:r w:rsidRPr="001D7BD5">
        <w:rPr>
          <w:rFonts w:asciiTheme="majorBidi" w:hAnsiTheme="majorBidi" w:cstheme="majorBidi"/>
          <w:sz w:val="18"/>
          <w:szCs w:val="18"/>
        </w:rPr>
        <w:t xml:space="preserve">, </w:t>
      </w:r>
      <w:proofErr w:type="gramStart"/>
      <w:r w:rsidRPr="001D7BD5">
        <w:rPr>
          <w:rFonts w:asciiTheme="majorBidi" w:hAnsiTheme="majorBidi" w:cstheme="majorBidi"/>
          <w:sz w:val="18"/>
          <w:szCs w:val="18"/>
        </w:rPr>
        <w:t>B ,</w:t>
      </w:r>
      <w:proofErr w:type="gramEnd"/>
      <w:r w:rsidRPr="001D7BD5">
        <w:rPr>
          <w:rFonts w:asciiTheme="majorBidi" w:hAnsiTheme="majorBidi" w:cstheme="majorBidi"/>
          <w:sz w:val="18"/>
          <w:szCs w:val="18"/>
        </w:rPr>
        <w:t xml:space="preserve"> Lulu, M. (2017). The Voluntary Disclosure of Companies Listed on Palestine Exchange and Its Effect on Stock Price. </w:t>
      </w:r>
    </w:p>
    <w:p w14:paraId="1DFC68CC"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[29] </w:t>
      </w:r>
      <w:proofErr w:type="spellStart"/>
      <w:r w:rsidRPr="001D7BD5">
        <w:rPr>
          <w:rFonts w:asciiTheme="majorBidi" w:hAnsiTheme="majorBidi" w:cstheme="majorBidi"/>
          <w:sz w:val="18"/>
          <w:szCs w:val="18"/>
        </w:rPr>
        <w:t>Barakat</w:t>
      </w:r>
      <w:proofErr w:type="spellEnd"/>
      <w:r w:rsidRPr="001D7BD5">
        <w:rPr>
          <w:rFonts w:asciiTheme="majorBidi" w:hAnsiTheme="majorBidi" w:cstheme="majorBidi"/>
          <w:sz w:val="18"/>
          <w:szCs w:val="18"/>
        </w:rPr>
        <w:t xml:space="preserve">, F., </w:t>
      </w:r>
      <w:proofErr w:type="spellStart"/>
      <w:r w:rsidRPr="001D7BD5">
        <w:rPr>
          <w:rFonts w:asciiTheme="majorBidi" w:hAnsiTheme="majorBidi" w:cstheme="majorBidi"/>
          <w:sz w:val="18"/>
          <w:szCs w:val="18"/>
        </w:rPr>
        <w:t>Pe´rez</w:t>
      </w:r>
      <w:proofErr w:type="spellEnd"/>
      <w:r w:rsidRPr="001D7BD5">
        <w:rPr>
          <w:rFonts w:asciiTheme="majorBidi" w:hAnsiTheme="majorBidi" w:cstheme="majorBidi"/>
          <w:sz w:val="18"/>
          <w:szCs w:val="18"/>
        </w:rPr>
        <w:t xml:space="preserve">, V., and </w:t>
      </w:r>
      <w:proofErr w:type="spellStart"/>
      <w:r w:rsidRPr="001D7BD5">
        <w:rPr>
          <w:rFonts w:asciiTheme="majorBidi" w:hAnsiTheme="majorBidi" w:cstheme="majorBidi"/>
          <w:sz w:val="18"/>
          <w:szCs w:val="18"/>
        </w:rPr>
        <w:t>Ariza</w:t>
      </w:r>
      <w:proofErr w:type="spellEnd"/>
      <w:r w:rsidRPr="001D7BD5">
        <w:rPr>
          <w:rFonts w:asciiTheme="majorBidi" w:hAnsiTheme="majorBidi" w:cstheme="majorBidi"/>
          <w:sz w:val="18"/>
          <w:szCs w:val="18"/>
        </w:rPr>
        <w:t>, R., (2015). Corporate social responsibility disclosure (CSRD) determinants of listed companies in Palestine (PXE) and Jordan (ASE). Springer-</w:t>
      </w:r>
      <w:proofErr w:type="spellStart"/>
      <w:r w:rsidRPr="001D7BD5">
        <w:rPr>
          <w:rFonts w:asciiTheme="majorBidi" w:hAnsiTheme="majorBidi" w:cstheme="majorBidi"/>
          <w:sz w:val="18"/>
          <w:szCs w:val="18"/>
        </w:rPr>
        <w:t>Verlag</w:t>
      </w:r>
      <w:proofErr w:type="spellEnd"/>
      <w:r w:rsidRPr="001D7BD5">
        <w:rPr>
          <w:rFonts w:asciiTheme="majorBidi" w:hAnsiTheme="majorBidi" w:cstheme="majorBidi"/>
          <w:sz w:val="18"/>
          <w:szCs w:val="18"/>
        </w:rPr>
        <w:t xml:space="preserve"> Berlin Heidelberg.</w:t>
      </w:r>
    </w:p>
    <w:p w14:paraId="774D1526" w14:textId="77777777" w:rsidR="00775AA2" w:rsidRPr="001D7BD5" w:rsidRDefault="00775AA2" w:rsidP="00775AA2">
      <w:pPr>
        <w:bidi w:val="0"/>
        <w:jc w:val="both"/>
        <w:rPr>
          <w:rFonts w:asciiTheme="majorBidi" w:hAnsiTheme="majorBidi" w:cstheme="majorBidi"/>
          <w:sz w:val="18"/>
          <w:szCs w:val="18"/>
          <w:rtl/>
        </w:rPr>
      </w:pPr>
      <w:r w:rsidRPr="001D7BD5">
        <w:rPr>
          <w:rFonts w:asciiTheme="majorBidi" w:hAnsiTheme="majorBidi" w:cstheme="majorBidi"/>
          <w:sz w:val="18"/>
          <w:szCs w:val="18"/>
        </w:rPr>
        <w:t xml:space="preserve">[30] </w:t>
      </w:r>
      <w:proofErr w:type="spellStart"/>
      <w:r w:rsidRPr="001D7BD5">
        <w:rPr>
          <w:rFonts w:asciiTheme="majorBidi" w:hAnsiTheme="majorBidi" w:cstheme="majorBidi"/>
          <w:sz w:val="18"/>
          <w:szCs w:val="18"/>
        </w:rPr>
        <w:t>Alkababji</w:t>
      </w:r>
      <w:proofErr w:type="spellEnd"/>
      <w:r w:rsidRPr="001D7BD5">
        <w:rPr>
          <w:rFonts w:asciiTheme="majorBidi" w:hAnsiTheme="majorBidi" w:cstheme="majorBidi"/>
          <w:sz w:val="18"/>
          <w:szCs w:val="18"/>
        </w:rPr>
        <w:t>, M. (2014). Voluntary disclosure on corporate social responsibility: a study on the annual reports of Palestinian corporations. European Journal of Accounting Auditing and Finance Research, Vol.2, No.4, pp.59-82</w:t>
      </w:r>
      <w:r w:rsidRPr="001D7BD5">
        <w:rPr>
          <w:rFonts w:asciiTheme="majorBidi" w:hAnsiTheme="majorBidi" w:cstheme="majorBidi"/>
          <w:sz w:val="18"/>
          <w:szCs w:val="18"/>
          <w:rtl/>
        </w:rPr>
        <w:t>.</w:t>
      </w:r>
    </w:p>
    <w:p w14:paraId="6331581A"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[31] </w:t>
      </w:r>
      <w:proofErr w:type="spellStart"/>
      <w:r w:rsidRPr="001D7BD5">
        <w:rPr>
          <w:rFonts w:asciiTheme="majorBidi" w:hAnsiTheme="majorBidi" w:cstheme="majorBidi"/>
          <w:sz w:val="18"/>
          <w:szCs w:val="18"/>
        </w:rPr>
        <w:t>Verrecchia</w:t>
      </w:r>
      <w:proofErr w:type="spellEnd"/>
      <w:r w:rsidRPr="001D7BD5">
        <w:rPr>
          <w:rFonts w:asciiTheme="majorBidi" w:hAnsiTheme="majorBidi" w:cstheme="majorBidi"/>
          <w:sz w:val="18"/>
          <w:szCs w:val="18"/>
        </w:rPr>
        <w:t>, R., (1983). Discretionary disclosure. Journal of Accounting and Economics, Vol. 5, 179- 194.</w:t>
      </w:r>
    </w:p>
    <w:p w14:paraId="770DBCAD"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lastRenderedPageBreak/>
        <w:t xml:space="preserve">[32] Choi, F.D.S. (1973). Financial disclosure and entry to the European capital market, Journal of Accounting Research, 11(2), pp. 159–175. </w:t>
      </w:r>
      <w:hyperlink r:id="rId19" w:history="1">
        <w:r w:rsidRPr="001D7BD5">
          <w:rPr>
            <w:rStyle w:val="Hyperlink"/>
            <w:rFonts w:asciiTheme="majorBidi" w:hAnsiTheme="majorBidi" w:cstheme="majorBidi"/>
            <w:color w:val="auto"/>
            <w:sz w:val="18"/>
            <w:szCs w:val="18"/>
            <w:u w:val="none"/>
          </w:rPr>
          <w:t>http://dx.doi.org/10.2307/2490187</w:t>
        </w:r>
      </w:hyperlink>
      <w:r w:rsidRPr="001D7BD5">
        <w:rPr>
          <w:rFonts w:asciiTheme="majorBidi" w:hAnsiTheme="majorBidi" w:cstheme="majorBidi"/>
          <w:sz w:val="18"/>
          <w:szCs w:val="18"/>
        </w:rPr>
        <w:t>.</w:t>
      </w:r>
    </w:p>
    <w:p w14:paraId="650C33E1"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[33] Wilmshurst, T. D., and Frost, G. R. (2000). Corporate environmental reporting: a test of legitimacy theory. Accounting, Auditing and Accountability Journal. 13(1), 10- 26.</w:t>
      </w:r>
    </w:p>
    <w:p w14:paraId="202F2278"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[34] </w:t>
      </w:r>
      <w:proofErr w:type="spellStart"/>
      <w:r w:rsidRPr="001D7BD5">
        <w:rPr>
          <w:rFonts w:asciiTheme="majorBidi" w:hAnsiTheme="majorBidi" w:cstheme="majorBidi"/>
          <w:sz w:val="18"/>
          <w:szCs w:val="18"/>
        </w:rPr>
        <w:t>Fama</w:t>
      </w:r>
      <w:proofErr w:type="spellEnd"/>
      <w:r w:rsidRPr="001D7BD5">
        <w:rPr>
          <w:rFonts w:asciiTheme="majorBidi" w:hAnsiTheme="majorBidi" w:cstheme="majorBidi"/>
          <w:sz w:val="18"/>
          <w:szCs w:val="18"/>
        </w:rPr>
        <w:t xml:space="preserve">, E., and Jensen, M., (1983). Separation of ownership and control. The Journal of Law and Economics, 26(2), 36–67. </w:t>
      </w:r>
      <w:hyperlink r:id="rId20" w:history="1">
        <w:r w:rsidRPr="001D7BD5">
          <w:rPr>
            <w:rStyle w:val="Hyperlink"/>
            <w:rFonts w:asciiTheme="majorBidi" w:hAnsiTheme="majorBidi" w:cstheme="majorBidi"/>
            <w:color w:val="auto"/>
            <w:sz w:val="18"/>
            <w:szCs w:val="18"/>
            <w:u w:val="none"/>
          </w:rPr>
          <w:t>http://dx.doi.org/10.1086/467037</w:t>
        </w:r>
      </w:hyperlink>
      <w:r w:rsidRPr="001D7BD5">
        <w:rPr>
          <w:rFonts w:asciiTheme="majorBidi" w:hAnsiTheme="majorBidi" w:cstheme="majorBidi"/>
          <w:sz w:val="18"/>
          <w:szCs w:val="18"/>
        </w:rPr>
        <w:t>.</w:t>
      </w:r>
    </w:p>
    <w:p w14:paraId="4B4A265E" w14:textId="77777777" w:rsidR="00775AA2" w:rsidRPr="001D7BD5" w:rsidRDefault="00775AA2" w:rsidP="00775AA2">
      <w:pPr>
        <w:bidi w:val="0"/>
        <w:jc w:val="both"/>
        <w:rPr>
          <w:rFonts w:asciiTheme="majorBidi" w:hAnsiTheme="majorBidi" w:cstheme="majorBidi"/>
          <w:sz w:val="18"/>
          <w:szCs w:val="18"/>
          <w:rtl/>
        </w:rPr>
      </w:pPr>
      <w:r w:rsidRPr="001D7BD5">
        <w:rPr>
          <w:rFonts w:asciiTheme="majorBidi" w:hAnsiTheme="majorBidi" w:cstheme="majorBidi"/>
          <w:sz w:val="18"/>
          <w:szCs w:val="18"/>
        </w:rPr>
        <w:t xml:space="preserve">[35] </w:t>
      </w:r>
      <w:proofErr w:type="spellStart"/>
      <w:r w:rsidRPr="001D7BD5">
        <w:rPr>
          <w:rFonts w:asciiTheme="majorBidi" w:hAnsiTheme="majorBidi" w:cstheme="majorBidi"/>
          <w:sz w:val="18"/>
          <w:szCs w:val="18"/>
        </w:rPr>
        <w:t>Laksmana</w:t>
      </w:r>
      <w:proofErr w:type="spellEnd"/>
      <w:r w:rsidRPr="001D7BD5">
        <w:rPr>
          <w:rFonts w:asciiTheme="majorBidi" w:hAnsiTheme="majorBidi" w:cstheme="majorBidi"/>
          <w:sz w:val="18"/>
          <w:szCs w:val="18"/>
        </w:rPr>
        <w:t>, I. (2008). Corporate board governance and voluntary disclosure of executive compensation practices. Contemporary Accounting Research, Vol. 25 No. 4, pp. 47–82.</w:t>
      </w:r>
    </w:p>
    <w:p w14:paraId="76AEB6A4"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[36]</w:t>
      </w:r>
      <w:r w:rsidRPr="001D7BD5">
        <w:rPr>
          <w:rFonts w:asciiTheme="majorBidi" w:hAnsiTheme="majorBidi" w:cstheme="majorBidi"/>
          <w:sz w:val="28"/>
          <w:szCs w:val="28"/>
        </w:rPr>
        <w:t xml:space="preserve"> </w:t>
      </w:r>
      <w:r w:rsidRPr="001D7BD5">
        <w:rPr>
          <w:rFonts w:asciiTheme="majorBidi" w:hAnsiTheme="majorBidi" w:cstheme="majorBidi"/>
          <w:sz w:val="18"/>
          <w:szCs w:val="18"/>
        </w:rPr>
        <w:t xml:space="preserve">Chen, P., and </w:t>
      </w:r>
      <w:proofErr w:type="spellStart"/>
      <w:r w:rsidRPr="001D7BD5">
        <w:rPr>
          <w:rFonts w:asciiTheme="majorBidi" w:hAnsiTheme="majorBidi" w:cstheme="majorBidi"/>
          <w:sz w:val="18"/>
          <w:szCs w:val="18"/>
        </w:rPr>
        <w:t>Jaggi</w:t>
      </w:r>
      <w:proofErr w:type="spellEnd"/>
      <w:r w:rsidRPr="001D7BD5">
        <w:rPr>
          <w:rFonts w:asciiTheme="majorBidi" w:hAnsiTheme="majorBidi" w:cstheme="majorBidi"/>
          <w:sz w:val="18"/>
          <w:szCs w:val="18"/>
        </w:rPr>
        <w:t xml:space="preserve">, B., (2000). Association between independent non-executive directors, family control and financial disclosures in Hong Kong. Journal of Accounting and Public Policy, 19(4), 285–310. </w:t>
      </w:r>
      <w:hyperlink r:id="rId21" w:history="1">
        <w:r w:rsidRPr="001D7BD5">
          <w:rPr>
            <w:rStyle w:val="Hyperlink"/>
            <w:rFonts w:asciiTheme="majorBidi" w:hAnsiTheme="majorBidi" w:cstheme="majorBidi"/>
            <w:color w:val="auto"/>
            <w:sz w:val="18"/>
            <w:szCs w:val="18"/>
            <w:u w:val="none"/>
          </w:rPr>
          <w:t>http://dx.doi.org/10.1016/S0278-4254(00)00015-6</w:t>
        </w:r>
      </w:hyperlink>
      <w:r w:rsidRPr="001D7BD5">
        <w:rPr>
          <w:rFonts w:asciiTheme="majorBidi" w:hAnsiTheme="majorBidi" w:cstheme="majorBidi"/>
          <w:sz w:val="18"/>
          <w:szCs w:val="18"/>
        </w:rPr>
        <w:t>.</w:t>
      </w:r>
    </w:p>
    <w:p w14:paraId="27A1B142" w14:textId="122119D3"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[37] </w:t>
      </w:r>
      <w:r w:rsidRPr="001D7BD5">
        <w:rPr>
          <w:rFonts w:asciiTheme="majorBidi" w:hAnsiTheme="majorBidi" w:cstheme="majorBidi"/>
          <w:sz w:val="18"/>
          <w:szCs w:val="18"/>
          <w:lang w:val="en-GB"/>
        </w:rPr>
        <w:t xml:space="preserve">Abu Alia, M. J., &amp; </w:t>
      </w:r>
      <w:proofErr w:type="spellStart"/>
      <w:r w:rsidRPr="001D7BD5">
        <w:rPr>
          <w:rFonts w:asciiTheme="majorBidi" w:hAnsiTheme="majorBidi" w:cstheme="majorBidi"/>
          <w:sz w:val="18"/>
          <w:szCs w:val="18"/>
          <w:lang w:val="en-GB"/>
        </w:rPr>
        <w:t>Mardawi</w:t>
      </w:r>
      <w:proofErr w:type="spellEnd"/>
      <w:r w:rsidRPr="001D7BD5">
        <w:rPr>
          <w:rFonts w:asciiTheme="majorBidi" w:hAnsiTheme="majorBidi" w:cstheme="majorBidi"/>
          <w:sz w:val="18"/>
          <w:szCs w:val="18"/>
          <w:lang w:val="en-GB"/>
        </w:rPr>
        <w:t xml:space="preserve">, Z. M. (2021). </w:t>
      </w:r>
      <w:r w:rsidRPr="001D7BD5">
        <w:rPr>
          <w:rFonts w:asciiTheme="majorBidi" w:hAnsiTheme="majorBidi" w:cstheme="majorBidi"/>
          <w:sz w:val="18"/>
          <w:szCs w:val="18"/>
        </w:rPr>
        <w:t>The Impact of Ownership Structure and Board Characteristics on Corporate Social Responsibility Disclosed by Palestinian Companies. Jordan Journal of Business Administration, 17(2), 254-277.</w:t>
      </w:r>
    </w:p>
    <w:p w14:paraId="0119F83D"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[38] Dixon, R., </w:t>
      </w:r>
      <w:proofErr w:type="spellStart"/>
      <w:r w:rsidRPr="001D7BD5">
        <w:rPr>
          <w:rFonts w:asciiTheme="majorBidi" w:hAnsiTheme="majorBidi" w:cstheme="majorBidi"/>
          <w:sz w:val="18"/>
          <w:szCs w:val="18"/>
        </w:rPr>
        <w:t>Guariglia</w:t>
      </w:r>
      <w:proofErr w:type="spellEnd"/>
      <w:r w:rsidRPr="001D7BD5">
        <w:rPr>
          <w:rFonts w:asciiTheme="majorBidi" w:hAnsiTheme="majorBidi" w:cstheme="majorBidi"/>
          <w:sz w:val="18"/>
          <w:szCs w:val="18"/>
        </w:rPr>
        <w:t xml:space="preserve">, A., and </w:t>
      </w:r>
      <w:proofErr w:type="spellStart"/>
      <w:r w:rsidRPr="001D7BD5">
        <w:rPr>
          <w:rFonts w:asciiTheme="majorBidi" w:hAnsiTheme="majorBidi" w:cstheme="majorBidi"/>
          <w:sz w:val="18"/>
          <w:szCs w:val="18"/>
        </w:rPr>
        <w:t>Vijayakumaran</w:t>
      </w:r>
      <w:proofErr w:type="spellEnd"/>
      <w:r w:rsidRPr="001D7BD5">
        <w:rPr>
          <w:rFonts w:asciiTheme="majorBidi" w:hAnsiTheme="majorBidi" w:cstheme="majorBidi"/>
          <w:sz w:val="18"/>
          <w:szCs w:val="18"/>
        </w:rPr>
        <w:t>, R. (2015). Managerial ownership, corporate governance and firms' exporting decisions: Evidence from Chinese listed companies.  The European Journal of Finance, (ahead-of-print), 1-39.</w:t>
      </w:r>
    </w:p>
    <w:p w14:paraId="5C54E5AB"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[39] Lim, S. </w:t>
      </w:r>
      <w:proofErr w:type="spellStart"/>
      <w:r w:rsidRPr="001D7BD5">
        <w:rPr>
          <w:rFonts w:asciiTheme="majorBidi" w:hAnsiTheme="majorBidi" w:cstheme="majorBidi"/>
          <w:sz w:val="18"/>
          <w:szCs w:val="18"/>
        </w:rPr>
        <w:t>Matolcsy</w:t>
      </w:r>
      <w:proofErr w:type="spellEnd"/>
      <w:r w:rsidRPr="001D7BD5">
        <w:rPr>
          <w:rFonts w:asciiTheme="majorBidi" w:hAnsiTheme="majorBidi" w:cstheme="majorBidi"/>
          <w:sz w:val="18"/>
          <w:szCs w:val="18"/>
        </w:rPr>
        <w:t>, Z. and Chow, D. (2007). The association between board composition and different types of voluntary disclosure. European Accounting Review, Vol. 16 No. 3, pp. 555-583.</w:t>
      </w:r>
    </w:p>
    <w:p w14:paraId="3FFBC317"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[40] </w:t>
      </w:r>
      <w:proofErr w:type="spellStart"/>
      <w:r w:rsidRPr="001D7BD5">
        <w:rPr>
          <w:rFonts w:asciiTheme="majorBidi" w:hAnsiTheme="majorBidi" w:cstheme="majorBidi"/>
          <w:sz w:val="18"/>
          <w:szCs w:val="18"/>
        </w:rPr>
        <w:t>Forker</w:t>
      </w:r>
      <w:proofErr w:type="spellEnd"/>
      <w:r w:rsidRPr="001D7BD5">
        <w:rPr>
          <w:rFonts w:asciiTheme="majorBidi" w:hAnsiTheme="majorBidi" w:cstheme="majorBidi"/>
          <w:sz w:val="18"/>
          <w:szCs w:val="18"/>
        </w:rPr>
        <w:t>, J. (1992). Corporate governance and disclosure quality. Accounting and Business Research, Vol. 22 No. 86, pp. 111-124</w:t>
      </w:r>
    </w:p>
    <w:p w14:paraId="387812DC"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[41] </w:t>
      </w:r>
      <w:proofErr w:type="spellStart"/>
      <w:r w:rsidRPr="001D7BD5">
        <w:rPr>
          <w:rFonts w:asciiTheme="majorBidi" w:hAnsiTheme="majorBidi" w:cstheme="majorBidi"/>
          <w:sz w:val="18"/>
          <w:szCs w:val="18"/>
          <w:lang w:val="es-ES_tradnl"/>
        </w:rPr>
        <w:t>Mardawi</w:t>
      </w:r>
      <w:proofErr w:type="spellEnd"/>
      <w:r w:rsidRPr="001D7BD5">
        <w:rPr>
          <w:rFonts w:asciiTheme="majorBidi" w:hAnsiTheme="majorBidi" w:cstheme="majorBidi"/>
          <w:sz w:val="18"/>
          <w:szCs w:val="18"/>
          <w:lang w:val="es-ES_tradnl"/>
        </w:rPr>
        <w:t>, Z., Seguí-Mas, E., &amp; Tormo-</w:t>
      </w:r>
      <w:proofErr w:type="spellStart"/>
      <w:r w:rsidRPr="001D7BD5">
        <w:rPr>
          <w:rFonts w:asciiTheme="majorBidi" w:hAnsiTheme="majorBidi" w:cstheme="majorBidi"/>
          <w:sz w:val="18"/>
          <w:szCs w:val="18"/>
          <w:lang w:val="es-ES_tradnl"/>
        </w:rPr>
        <w:t>Carbó</w:t>
      </w:r>
      <w:proofErr w:type="spellEnd"/>
      <w:r w:rsidRPr="001D7BD5">
        <w:rPr>
          <w:rFonts w:asciiTheme="majorBidi" w:hAnsiTheme="majorBidi" w:cstheme="majorBidi"/>
          <w:sz w:val="18"/>
          <w:szCs w:val="18"/>
          <w:lang w:val="es-ES_tradnl"/>
        </w:rPr>
        <w:t xml:space="preserve">, G. (2021). </w:t>
      </w:r>
      <w:r w:rsidRPr="001D7BD5">
        <w:rPr>
          <w:rFonts w:asciiTheme="majorBidi" w:hAnsiTheme="majorBidi" w:cstheme="majorBidi"/>
          <w:sz w:val="18"/>
          <w:szCs w:val="18"/>
          <w:lang w:val="en-GB"/>
        </w:rPr>
        <w:t>Rethinking the accounting ethics education research in the post-COVID-19 context. Cogent Business &amp; Management, 8(1), 1984627.</w:t>
      </w:r>
    </w:p>
    <w:p w14:paraId="71786307"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[42] Singh, V., </w:t>
      </w:r>
      <w:proofErr w:type="spellStart"/>
      <w:r w:rsidRPr="001D7BD5">
        <w:rPr>
          <w:rFonts w:asciiTheme="majorBidi" w:hAnsiTheme="majorBidi" w:cstheme="majorBidi"/>
          <w:sz w:val="18"/>
          <w:szCs w:val="18"/>
        </w:rPr>
        <w:t>Vinnicombe</w:t>
      </w:r>
      <w:proofErr w:type="spellEnd"/>
      <w:r w:rsidRPr="001D7BD5">
        <w:rPr>
          <w:rFonts w:asciiTheme="majorBidi" w:hAnsiTheme="majorBidi" w:cstheme="majorBidi"/>
          <w:sz w:val="18"/>
          <w:szCs w:val="18"/>
        </w:rPr>
        <w:t>, S., and Johnson, P. (2001). Women directors on top UK boards. Corporate Governance. An International Review, 9, 206–216. http://dx.doi.org/10.1111/1467-8683.00248.</w:t>
      </w:r>
    </w:p>
    <w:p w14:paraId="327BECF8"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[43] </w:t>
      </w:r>
      <w:proofErr w:type="spellStart"/>
      <w:r w:rsidRPr="001D7BD5">
        <w:rPr>
          <w:rFonts w:asciiTheme="majorBidi" w:hAnsiTheme="majorBidi" w:cstheme="majorBidi"/>
          <w:sz w:val="18"/>
          <w:szCs w:val="18"/>
        </w:rPr>
        <w:t>Gibbins</w:t>
      </w:r>
      <w:proofErr w:type="spellEnd"/>
      <w:r w:rsidRPr="001D7BD5">
        <w:rPr>
          <w:rFonts w:asciiTheme="majorBidi" w:hAnsiTheme="majorBidi" w:cstheme="majorBidi"/>
          <w:sz w:val="18"/>
          <w:szCs w:val="18"/>
        </w:rPr>
        <w:t xml:space="preserve">, M., Richardson, A., and Waterhouse, J. (1990). The management of corporate financial disclosure: Opportunism, ritualism, policies, and process. Journal of Accounting Research, 28(1), 121–143. </w:t>
      </w:r>
      <w:hyperlink r:id="rId22" w:history="1">
        <w:r w:rsidRPr="001D7BD5">
          <w:rPr>
            <w:rStyle w:val="Hyperlink"/>
            <w:rFonts w:asciiTheme="majorBidi" w:hAnsiTheme="majorBidi" w:cstheme="majorBidi"/>
            <w:sz w:val="18"/>
            <w:szCs w:val="18"/>
          </w:rPr>
          <w:t>http://dx.doi.org/10.2307/2491219</w:t>
        </w:r>
      </w:hyperlink>
      <w:r w:rsidRPr="001D7BD5">
        <w:rPr>
          <w:rFonts w:asciiTheme="majorBidi" w:hAnsiTheme="majorBidi" w:cstheme="majorBidi"/>
          <w:sz w:val="18"/>
          <w:szCs w:val="18"/>
        </w:rPr>
        <w:t>.</w:t>
      </w:r>
    </w:p>
    <w:p w14:paraId="573EAF73"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[44] Carter, D. A., </w:t>
      </w:r>
      <w:proofErr w:type="spellStart"/>
      <w:r w:rsidRPr="001D7BD5">
        <w:rPr>
          <w:rFonts w:asciiTheme="majorBidi" w:hAnsiTheme="majorBidi" w:cstheme="majorBidi"/>
          <w:sz w:val="18"/>
          <w:szCs w:val="18"/>
        </w:rPr>
        <w:t>Simkins</w:t>
      </w:r>
      <w:proofErr w:type="spellEnd"/>
      <w:r w:rsidRPr="001D7BD5">
        <w:rPr>
          <w:rFonts w:asciiTheme="majorBidi" w:hAnsiTheme="majorBidi" w:cstheme="majorBidi"/>
          <w:sz w:val="18"/>
          <w:szCs w:val="18"/>
        </w:rPr>
        <w:t>, B. J., &amp; Simpson, W. G. (2003). Corporate governance, board diversity, and firm value. Financial review, 38(1), 33-53.</w:t>
      </w:r>
    </w:p>
    <w:p w14:paraId="1ADDA1F3"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[45] Hillman, A. J., </w:t>
      </w:r>
      <w:proofErr w:type="spellStart"/>
      <w:r w:rsidRPr="001D7BD5">
        <w:rPr>
          <w:rFonts w:asciiTheme="majorBidi" w:hAnsiTheme="majorBidi" w:cstheme="majorBidi"/>
          <w:sz w:val="18"/>
          <w:szCs w:val="18"/>
        </w:rPr>
        <w:t>Shropshire</w:t>
      </w:r>
      <w:proofErr w:type="spellEnd"/>
      <w:r w:rsidRPr="001D7BD5">
        <w:rPr>
          <w:rFonts w:asciiTheme="majorBidi" w:hAnsiTheme="majorBidi" w:cstheme="majorBidi"/>
          <w:sz w:val="18"/>
          <w:szCs w:val="18"/>
        </w:rPr>
        <w:t xml:space="preserve">, C., &amp; </w:t>
      </w:r>
      <w:proofErr w:type="spellStart"/>
      <w:r w:rsidRPr="001D7BD5">
        <w:rPr>
          <w:rFonts w:asciiTheme="majorBidi" w:hAnsiTheme="majorBidi" w:cstheme="majorBidi"/>
          <w:sz w:val="18"/>
          <w:szCs w:val="18"/>
        </w:rPr>
        <w:t>Cannella</w:t>
      </w:r>
      <w:proofErr w:type="spellEnd"/>
      <w:r w:rsidRPr="001D7BD5">
        <w:rPr>
          <w:rFonts w:asciiTheme="majorBidi" w:hAnsiTheme="majorBidi" w:cstheme="majorBidi"/>
          <w:sz w:val="18"/>
          <w:szCs w:val="18"/>
        </w:rPr>
        <w:t xml:space="preserve"> Jr, A. A. (2007). Organizational predictors of women on corporate boards. Academy of management journal, 50(4), 941-952.</w:t>
      </w:r>
    </w:p>
    <w:p w14:paraId="439AB295"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[46] Bear, S., Rahman, N., &amp; Post, C. (2010). The impact of board diversity and gender composition on corporate social responsibility and firm reputation. Journal of business ethics, 97, 207-221.</w:t>
      </w:r>
    </w:p>
    <w:p w14:paraId="20C1C6A9" w14:textId="3E786AA1" w:rsidR="00775AA2" w:rsidRPr="001D7BD5" w:rsidRDefault="00775AA2" w:rsidP="00775AA2">
      <w:pPr>
        <w:bidi w:val="0"/>
        <w:jc w:val="both"/>
        <w:rPr>
          <w:rFonts w:asciiTheme="majorBidi" w:hAnsiTheme="majorBidi" w:cstheme="majorBidi"/>
          <w:sz w:val="18"/>
          <w:szCs w:val="18"/>
          <w:lang w:val="es-ES_tradnl"/>
        </w:rPr>
      </w:pPr>
      <w:r w:rsidRPr="001D7BD5">
        <w:rPr>
          <w:rFonts w:asciiTheme="majorBidi" w:hAnsiTheme="majorBidi" w:cstheme="majorBidi"/>
          <w:sz w:val="18"/>
          <w:szCs w:val="18"/>
        </w:rPr>
        <w:t xml:space="preserve">[47] </w:t>
      </w:r>
      <w:proofErr w:type="spellStart"/>
      <w:r w:rsidRPr="001D7BD5">
        <w:rPr>
          <w:rFonts w:asciiTheme="majorBidi" w:hAnsiTheme="majorBidi" w:cstheme="majorBidi"/>
          <w:sz w:val="18"/>
          <w:szCs w:val="18"/>
          <w:lang w:val="es-ES_tradnl"/>
        </w:rPr>
        <w:t>Majeed</w:t>
      </w:r>
      <w:proofErr w:type="spellEnd"/>
      <w:r w:rsidRPr="001D7BD5">
        <w:rPr>
          <w:rFonts w:asciiTheme="majorBidi" w:hAnsiTheme="majorBidi" w:cstheme="majorBidi"/>
          <w:sz w:val="18"/>
          <w:szCs w:val="18"/>
          <w:lang w:val="es-ES_tradnl"/>
        </w:rPr>
        <w:t xml:space="preserve">, S., </w:t>
      </w:r>
      <w:proofErr w:type="spellStart"/>
      <w:r w:rsidRPr="001D7BD5">
        <w:rPr>
          <w:rFonts w:asciiTheme="majorBidi" w:hAnsiTheme="majorBidi" w:cstheme="majorBidi"/>
          <w:sz w:val="18"/>
          <w:szCs w:val="18"/>
          <w:lang w:val="es-ES_tradnl"/>
        </w:rPr>
        <w:t>Aziz</w:t>
      </w:r>
      <w:proofErr w:type="spellEnd"/>
      <w:r w:rsidRPr="001D7BD5">
        <w:rPr>
          <w:rFonts w:asciiTheme="majorBidi" w:hAnsiTheme="majorBidi" w:cstheme="majorBidi"/>
          <w:sz w:val="18"/>
          <w:szCs w:val="18"/>
          <w:lang w:val="es-ES_tradnl"/>
        </w:rPr>
        <w:t xml:space="preserve">, T. and </w:t>
      </w:r>
      <w:proofErr w:type="spellStart"/>
      <w:r w:rsidRPr="001D7BD5">
        <w:rPr>
          <w:rFonts w:asciiTheme="majorBidi" w:hAnsiTheme="majorBidi" w:cstheme="majorBidi"/>
          <w:sz w:val="18"/>
          <w:szCs w:val="18"/>
          <w:lang w:val="es-ES_tradnl"/>
        </w:rPr>
        <w:t>Saleem</w:t>
      </w:r>
      <w:proofErr w:type="spellEnd"/>
      <w:r w:rsidRPr="001D7BD5">
        <w:rPr>
          <w:rFonts w:asciiTheme="majorBidi" w:hAnsiTheme="majorBidi" w:cstheme="majorBidi"/>
          <w:sz w:val="18"/>
          <w:szCs w:val="18"/>
          <w:lang w:val="es-ES_tradnl"/>
        </w:rPr>
        <w:t>, S. (2015), “</w:t>
      </w:r>
      <w:proofErr w:type="spellStart"/>
      <w:r w:rsidRPr="001D7BD5">
        <w:rPr>
          <w:rFonts w:asciiTheme="majorBidi" w:hAnsiTheme="majorBidi" w:cstheme="majorBidi"/>
          <w:sz w:val="18"/>
          <w:szCs w:val="18"/>
          <w:lang w:val="es-ES_tradnl"/>
        </w:rPr>
        <w:t>The</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effect</w:t>
      </w:r>
      <w:proofErr w:type="spellEnd"/>
      <w:r w:rsidRPr="001D7BD5">
        <w:rPr>
          <w:rFonts w:asciiTheme="majorBidi" w:hAnsiTheme="majorBidi" w:cstheme="majorBidi"/>
          <w:sz w:val="18"/>
          <w:szCs w:val="18"/>
          <w:lang w:val="es-ES_tradnl"/>
        </w:rPr>
        <w:t xml:space="preserve"> of </w:t>
      </w:r>
      <w:proofErr w:type="spellStart"/>
      <w:r w:rsidRPr="001D7BD5">
        <w:rPr>
          <w:rFonts w:asciiTheme="majorBidi" w:hAnsiTheme="majorBidi" w:cstheme="majorBidi"/>
          <w:sz w:val="18"/>
          <w:szCs w:val="18"/>
          <w:lang w:val="es-ES_tradnl"/>
        </w:rPr>
        <w:t>corporate</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governance</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elements</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on</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corporate</w:t>
      </w:r>
      <w:proofErr w:type="spellEnd"/>
      <w:r w:rsidRPr="001D7BD5">
        <w:rPr>
          <w:rFonts w:asciiTheme="majorBidi" w:hAnsiTheme="majorBidi" w:cstheme="majorBidi"/>
          <w:sz w:val="18"/>
          <w:szCs w:val="18"/>
          <w:lang w:val="es-ES_tradnl"/>
        </w:rPr>
        <w:t xml:space="preserve"> </w:t>
      </w:r>
      <w:r w:rsidRPr="001D7BD5">
        <w:rPr>
          <w:rFonts w:asciiTheme="majorBidi" w:hAnsiTheme="majorBidi" w:cstheme="majorBidi"/>
          <w:sz w:val="18"/>
          <w:szCs w:val="18"/>
          <w:lang w:val="en-GB"/>
        </w:rPr>
        <w:t xml:space="preserve">social responsibility (CSR) disclosure: empirical evidence from listed companies at KSE Pakistan”, International Journal of Financial Studies, Vol. 3 No. 4, pp. 530-556, </w:t>
      </w:r>
      <w:proofErr w:type="spellStart"/>
      <w:r w:rsidRPr="001D7BD5">
        <w:rPr>
          <w:rFonts w:asciiTheme="majorBidi" w:hAnsiTheme="majorBidi" w:cstheme="majorBidi"/>
          <w:sz w:val="18"/>
          <w:szCs w:val="18"/>
          <w:lang w:val="en-GB"/>
        </w:rPr>
        <w:t>doi</w:t>
      </w:r>
      <w:proofErr w:type="spellEnd"/>
      <w:r w:rsidRPr="001D7BD5">
        <w:rPr>
          <w:rFonts w:asciiTheme="majorBidi" w:hAnsiTheme="majorBidi" w:cstheme="majorBidi"/>
          <w:sz w:val="18"/>
          <w:szCs w:val="18"/>
          <w:lang w:val="en-GB"/>
        </w:rPr>
        <w:t>: 10.3390/</w:t>
      </w:r>
      <w:r w:rsidRPr="001D7BD5">
        <w:rPr>
          <w:rFonts w:asciiTheme="majorBidi" w:hAnsiTheme="majorBidi" w:cstheme="majorBidi"/>
          <w:sz w:val="18"/>
          <w:szCs w:val="18"/>
          <w:lang w:val="es-ES_tradnl"/>
        </w:rPr>
        <w:t>ijfs3040530.</w:t>
      </w:r>
    </w:p>
    <w:p w14:paraId="44EF14A4"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lang w:val="es-ES_tradnl"/>
        </w:rPr>
        <w:t xml:space="preserve">[48] </w:t>
      </w:r>
      <w:proofErr w:type="spellStart"/>
      <w:r w:rsidRPr="001D7BD5">
        <w:rPr>
          <w:rFonts w:asciiTheme="majorBidi" w:hAnsiTheme="majorBidi" w:cstheme="majorBidi"/>
          <w:sz w:val="18"/>
          <w:szCs w:val="18"/>
        </w:rPr>
        <w:t>Handajani</w:t>
      </w:r>
      <w:proofErr w:type="spellEnd"/>
      <w:r w:rsidRPr="001D7BD5">
        <w:rPr>
          <w:rFonts w:asciiTheme="majorBidi" w:hAnsiTheme="majorBidi" w:cstheme="majorBidi"/>
          <w:sz w:val="18"/>
          <w:szCs w:val="18"/>
        </w:rPr>
        <w:t xml:space="preserve">, L., </w:t>
      </w:r>
      <w:proofErr w:type="spellStart"/>
      <w:r w:rsidRPr="001D7BD5">
        <w:rPr>
          <w:rFonts w:asciiTheme="majorBidi" w:hAnsiTheme="majorBidi" w:cstheme="majorBidi"/>
          <w:sz w:val="18"/>
          <w:szCs w:val="18"/>
        </w:rPr>
        <w:t>Subroto</w:t>
      </w:r>
      <w:proofErr w:type="spellEnd"/>
      <w:r w:rsidRPr="001D7BD5">
        <w:rPr>
          <w:rFonts w:asciiTheme="majorBidi" w:hAnsiTheme="majorBidi" w:cstheme="majorBidi"/>
          <w:sz w:val="18"/>
          <w:szCs w:val="18"/>
        </w:rPr>
        <w:t xml:space="preserve">, B., </w:t>
      </w:r>
      <w:proofErr w:type="spellStart"/>
      <w:r w:rsidRPr="001D7BD5">
        <w:rPr>
          <w:rFonts w:asciiTheme="majorBidi" w:hAnsiTheme="majorBidi" w:cstheme="majorBidi"/>
          <w:sz w:val="18"/>
          <w:szCs w:val="18"/>
        </w:rPr>
        <w:t>Sutrisno</w:t>
      </w:r>
      <w:proofErr w:type="spellEnd"/>
      <w:r w:rsidRPr="001D7BD5">
        <w:rPr>
          <w:rFonts w:asciiTheme="majorBidi" w:hAnsiTheme="majorBidi" w:cstheme="majorBidi"/>
          <w:sz w:val="18"/>
          <w:szCs w:val="18"/>
        </w:rPr>
        <w:t xml:space="preserve">, T. and </w:t>
      </w:r>
      <w:proofErr w:type="spellStart"/>
      <w:r w:rsidRPr="001D7BD5">
        <w:rPr>
          <w:rFonts w:asciiTheme="majorBidi" w:hAnsiTheme="majorBidi" w:cstheme="majorBidi"/>
          <w:sz w:val="18"/>
          <w:szCs w:val="18"/>
        </w:rPr>
        <w:t>Saraswati</w:t>
      </w:r>
      <w:proofErr w:type="spellEnd"/>
      <w:r w:rsidRPr="001D7BD5">
        <w:rPr>
          <w:rFonts w:asciiTheme="majorBidi" w:hAnsiTheme="majorBidi" w:cstheme="majorBidi"/>
          <w:sz w:val="18"/>
          <w:szCs w:val="18"/>
        </w:rPr>
        <w:t xml:space="preserve"> E.  (2014). Does Board Diversity Matter on Corporate Social Disclosure? An Indonesian Evidence. Journal of Economics and Sustainable Development, 5(9), 170-222.</w:t>
      </w:r>
    </w:p>
    <w:p w14:paraId="22F7A9DA" w14:textId="77777777" w:rsidR="00775AA2" w:rsidRPr="001D7BD5" w:rsidRDefault="00775AA2" w:rsidP="00775AA2">
      <w:pPr>
        <w:bidi w:val="0"/>
        <w:jc w:val="both"/>
        <w:rPr>
          <w:rFonts w:asciiTheme="majorBidi" w:hAnsiTheme="majorBidi" w:cstheme="majorBidi"/>
          <w:sz w:val="18"/>
          <w:szCs w:val="18"/>
          <w:lang w:val="es-ES_tradnl"/>
        </w:rPr>
      </w:pPr>
      <w:r w:rsidRPr="001D7BD5">
        <w:rPr>
          <w:rFonts w:asciiTheme="majorBidi" w:hAnsiTheme="majorBidi" w:cstheme="majorBidi"/>
          <w:sz w:val="18"/>
          <w:szCs w:val="18"/>
          <w:lang w:val="es-ES_tradnl"/>
        </w:rPr>
        <w:t xml:space="preserve">[49] </w:t>
      </w:r>
      <w:proofErr w:type="spellStart"/>
      <w:r w:rsidRPr="001D7BD5">
        <w:rPr>
          <w:rFonts w:asciiTheme="majorBidi" w:hAnsiTheme="majorBidi" w:cstheme="majorBidi"/>
          <w:sz w:val="18"/>
          <w:szCs w:val="18"/>
        </w:rPr>
        <w:t>Alfraih</w:t>
      </w:r>
      <w:proofErr w:type="spellEnd"/>
      <w:r w:rsidRPr="001D7BD5">
        <w:rPr>
          <w:rFonts w:asciiTheme="majorBidi" w:hAnsiTheme="majorBidi" w:cstheme="majorBidi"/>
          <w:sz w:val="18"/>
          <w:szCs w:val="18"/>
        </w:rPr>
        <w:t xml:space="preserve">, M., </w:t>
      </w:r>
      <w:proofErr w:type="spellStart"/>
      <w:r w:rsidRPr="001D7BD5">
        <w:rPr>
          <w:rFonts w:asciiTheme="majorBidi" w:hAnsiTheme="majorBidi" w:cstheme="majorBidi"/>
          <w:sz w:val="18"/>
          <w:szCs w:val="18"/>
        </w:rPr>
        <w:t>Almutawa</w:t>
      </w:r>
      <w:proofErr w:type="spellEnd"/>
      <w:r w:rsidRPr="001D7BD5">
        <w:rPr>
          <w:rFonts w:asciiTheme="majorBidi" w:hAnsiTheme="majorBidi" w:cstheme="majorBidi"/>
          <w:sz w:val="18"/>
          <w:szCs w:val="18"/>
        </w:rPr>
        <w:t xml:space="preserve">, A., (2017). Voluntary disclosure and corporate governance: empirical evidence from Kuwait. International Journal of Law and Management, 59 (2), 217-236. </w:t>
      </w:r>
      <w:hyperlink r:id="rId23" w:history="1">
        <w:r w:rsidRPr="001D7BD5">
          <w:rPr>
            <w:rStyle w:val="Hyperlink"/>
            <w:rFonts w:asciiTheme="majorBidi" w:hAnsiTheme="majorBidi" w:cstheme="majorBidi"/>
            <w:color w:val="auto"/>
            <w:sz w:val="18"/>
            <w:szCs w:val="18"/>
            <w:u w:val="none"/>
          </w:rPr>
          <w:t>https://doi.org/10.1108/IJLMA-10-2015-0052</w:t>
        </w:r>
      </w:hyperlink>
      <w:r w:rsidRPr="001D7BD5">
        <w:rPr>
          <w:rFonts w:asciiTheme="majorBidi" w:hAnsiTheme="majorBidi" w:cstheme="majorBidi"/>
          <w:sz w:val="18"/>
          <w:szCs w:val="18"/>
        </w:rPr>
        <w:t>.</w:t>
      </w:r>
    </w:p>
    <w:p w14:paraId="123BD49C"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lang w:val="es-ES_tradnl"/>
        </w:rPr>
        <w:lastRenderedPageBreak/>
        <w:t xml:space="preserve">[50] </w:t>
      </w:r>
      <w:proofErr w:type="spellStart"/>
      <w:r w:rsidRPr="001D7BD5">
        <w:rPr>
          <w:rFonts w:asciiTheme="majorBidi" w:hAnsiTheme="majorBidi" w:cstheme="majorBidi"/>
          <w:sz w:val="18"/>
          <w:szCs w:val="18"/>
        </w:rPr>
        <w:t>Uyar</w:t>
      </w:r>
      <w:proofErr w:type="spellEnd"/>
      <w:r w:rsidRPr="001D7BD5">
        <w:rPr>
          <w:rFonts w:asciiTheme="majorBidi" w:hAnsiTheme="majorBidi" w:cstheme="majorBidi"/>
          <w:sz w:val="18"/>
          <w:szCs w:val="18"/>
        </w:rPr>
        <w:t xml:space="preserve">, A., </w:t>
      </w:r>
      <w:proofErr w:type="spellStart"/>
      <w:r w:rsidRPr="001D7BD5">
        <w:rPr>
          <w:rFonts w:asciiTheme="majorBidi" w:hAnsiTheme="majorBidi" w:cstheme="majorBidi"/>
          <w:sz w:val="18"/>
          <w:szCs w:val="18"/>
        </w:rPr>
        <w:t>Kilic</w:t>
      </w:r>
      <w:proofErr w:type="spellEnd"/>
      <w:r w:rsidRPr="001D7BD5">
        <w:rPr>
          <w:rFonts w:asciiTheme="majorBidi" w:hAnsiTheme="majorBidi" w:cstheme="majorBidi"/>
          <w:sz w:val="18"/>
          <w:szCs w:val="18"/>
        </w:rPr>
        <w:t xml:space="preserve">, M., and </w:t>
      </w:r>
      <w:proofErr w:type="spellStart"/>
      <w:r w:rsidRPr="001D7BD5">
        <w:rPr>
          <w:rFonts w:asciiTheme="majorBidi" w:hAnsiTheme="majorBidi" w:cstheme="majorBidi"/>
          <w:sz w:val="18"/>
          <w:szCs w:val="18"/>
        </w:rPr>
        <w:t>Bayyurt</w:t>
      </w:r>
      <w:proofErr w:type="spellEnd"/>
      <w:r w:rsidRPr="001D7BD5">
        <w:rPr>
          <w:rFonts w:asciiTheme="majorBidi" w:hAnsiTheme="majorBidi" w:cstheme="majorBidi"/>
          <w:sz w:val="18"/>
          <w:szCs w:val="18"/>
        </w:rPr>
        <w:t>, N., (2013). Association between firm characteristics and corporate voluntary disclosure: Evidence from Turkish listed companies. Intangible Capital, 9(4), 1080-1112</w:t>
      </w:r>
    </w:p>
    <w:p w14:paraId="1C5811EE"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[51] </w:t>
      </w:r>
      <w:proofErr w:type="spellStart"/>
      <w:r w:rsidRPr="001D7BD5">
        <w:rPr>
          <w:rFonts w:asciiTheme="majorBidi" w:hAnsiTheme="majorBidi" w:cstheme="majorBidi"/>
          <w:sz w:val="18"/>
          <w:szCs w:val="18"/>
        </w:rPr>
        <w:t>Sukthomya</w:t>
      </w:r>
      <w:proofErr w:type="spellEnd"/>
      <w:r w:rsidRPr="001D7BD5">
        <w:rPr>
          <w:rFonts w:asciiTheme="majorBidi" w:hAnsiTheme="majorBidi" w:cstheme="majorBidi"/>
          <w:sz w:val="18"/>
          <w:szCs w:val="18"/>
        </w:rPr>
        <w:t>, D. (2011). The empirical evidence of voluntary disclosure in the annual reports of listed companies: The case of Thailand (Doctoral dissertation). Nottingham University, United Kingdom.</w:t>
      </w:r>
    </w:p>
    <w:p w14:paraId="79B4A635" w14:textId="77777777" w:rsidR="00775AA2" w:rsidRPr="001D7BD5" w:rsidRDefault="00775AA2" w:rsidP="00775AA2">
      <w:pPr>
        <w:bidi w:val="0"/>
        <w:jc w:val="both"/>
        <w:rPr>
          <w:rFonts w:asciiTheme="majorBidi" w:hAnsiTheme="majorBidi" w:cstheme="majorBidi"/>
          <w:sz w:val="18"/>
          <w:szCs w:val="18"/>
          <w:rtl/>
        </w:rPr>
      </w:pPr>
      <w:r w:rsidRPr="001D7BD5">
        <w:rPr>
          <w:rFonts w:asciiTheme="majorBidi" w:hAnsiTheme="majorBidi" w:cstheme="majorBidi"/>
          <w:sz w:val="18"/>
          <w:szCs w:val="18"/>
        </w:rPr>
        <w:t>[52] Cooke, T.E. (1989). Disclosure in the corporate annual reports of Swedish companies. Accounting and Business Research, Vol. 19 No. 74.</w:t>
      </w:r>
    </w:p>
    <w:p w14:paraId="22593BC9"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[53] </w:t>
      </w:r>
      <w:proofErr w:type="spellStart"/>
      <w:r w:rsidRPr="001D7BD5">
        <w:rPr>
          <w:rFonts w:asciiTheme="majorBidi" w:hAnsiTheme="majorBidi" w:cstheme="majorBidi"/>
          <w:sz w:val="18"/>
          <w:szCs w:val="18"/>
          <w:lang w:val="en-GB"/>
        </w:rPr>
        <w:t>Dwekat</w:t>
      </w:r>
      <w:proofErr w:type="spellEnd"/>
      <w:r w:rsidRPr="001D7BD5">
        <w:rPr>
          <w:rFonts w:asciiTheme="majorBidi" w:hAnsiTheme="majorBidi" w:cstheme="majorBidi"/>
          <w:sz w:val="18"/>
          <w:szCs w:val="18"/>
          <w:lang w:val="en-GB"/>
        </w:rPr>
        <w:t xml:space="preserve">, A., </w:t>
      </w:r>
      <w:proofErr w:type="spellStart"/>
      <w:r w:rsidRPr="001D7BD5">
        <w:rPr>
          <w:rFonts w:asciiTheme="majorBidi" w:hAnsiTheme="majorBidi" w:cstheme="majorBidi"/>
          <w:sz w:val="18"/>
          <w:szCs w:val="18"/>
          <w:lang w:val="en-GB"/>
        </w:rPr>
        <w:t>Mardawi</w:t>
      </w:r>
      <w:proofErr w:type="spellEnd"/>
      <w:r w:rsidRPr="001D7BD5">
        <w:rPr>
          <w:rFonts w:asciiTheme="majorBidi" w:hAnsiTheme="majorBidi" w:cstheme="majorBidi"/>
          <w:sz w:val="18"/>
          <w:szCs w:val="18"/>
          <w:lang w:val="en-GB"/>
        </w:rPr>
        <w:t xml:space="preserve">, Z., &amp; </w:t>
      </w:r>
      <w:proofErr w:type="spellStart"/>
      <w:r w:rsidRPr="001D7BD5">
        <w:rPr>
          <w:rFonts w:asciiTheme="majorBidi" w:hAnsiTheme="majorBidi" w:cstheme="majorBidi"/>
          <w:sz w:val="18"/>
          <w:szCs w:val="18"/>
          <w:lang w:val="en-GB"/>
        </w:rPr>
        <w:t>Abdeljawad</w:t>
      </w:r>
      <w:proofErr w:type="spellEnd"/>
      <w:r w:rsidRPr="001D7BD5">
        <w:rPr>
          <w:rFonts w:asciiTheme="majorBidi" w:hAnsiTheme="majorBidi" w:cstheme="majorBidi"/>
          <w:sz w:val="18"/>
          <w:szCs w:val="18"/>
          <w:lang w:val="en-GB"/>
        </w:rPr>
        <w:t>, I. (2018). Corporate governance and auditor quality choice: Evidence from Palestinian corporations. International Journal of Economics and Financial Issues, 8(2), 47-53.</w:t>
      </w:r>
    </w:p>
    <w:p w14:paraId="545763A9"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[54] </w:t>
      </w:r>
      <w:proofErr w:type="spellStart"/>
      <w:r w:rsidRPr="001D7BD5">
        <w:rPr>
          <w:rFonts w:asciiTheme="majorBidi" w:hAnsiTheme="majorBidi" w:cstheme="majorBidi"/>
          <w:sz w:val="18"/>
          <w:szCs w:val="18"/>
          <w:lang w:val="en-GB"/>
        </w:rPr>
        <w:t>Omran</w:t>
      </w:r>
      <w:proofErr w:type="spellEnd"/>
      <w:r w:rsidRPr="001D7BD5">
        <w:rPr>
          <w:rFonts w:asciiTheme="majorBidi" w:hAnsiTheme="majorBidi" w:cstheme="majorBidi"/>
          <w:sz w:val="18"/>
          <w:szCs w:val="18"/>
          <w:lang w:val="en-GB"/>
        </w:rPr>
        <w:t xml:space="preserve">, M. S., Zaid, M. A., &amp; </w:t>
      </w:r>
      <w:proofErr w:type="spellStart"/>
      <w:r w:rsidRPr="001D7BD5">
        <w:rPr>
          <w:rFonts w:asciiTheme="majorBidi" w:hAnsiTheme="majorBidi" w:cstheme="majorBidi"/>
          <w:sz w:val="18"/>
          <w:szCs w:val="18"/>
          <w:lang w:val="en-GB"/>
        </w:rPr>
        <w:t>Dwekat</w:t>
      </w:r>
      <w:proofErr w:type="spellEnd"/>
      <w:r w:rsidRPr="001D7BD5">
        <w:rPr>
          <w:rFonts w:asciiTheme="majorBidi" w:hAnsiTheme="majorBidi" w:cstheme="majorBidi"/>
          <w:sz w:val="18"/>
          <w:szCs w:val="18"/>
          <w:lang w:val="en-GB"/>
        </w:rPr>
        <w:t>, A. (2021). The relationship between integrated reporting and corporate environmental performance: A green trial. Corporate Social Responsibility and Environmental Management, 28(1), 427-445</w:t>
      </w:r>
    </w:p>
    <w:p w14:paraId="37973BD6" w14:textId="77777777"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[55] </w:t>
      </w:r>
      <w:proofErr w:type="spellStart"/>
      <w:r w:rsidRPr="001D7BD5">
        <w:rPr>
          <w:rFonts w:asciiTheme="majorBidi" w:hAnsiTheme="majorBidi" w:cstheme="majorBidi"/>
          <w:sz w:val="18"/>
          <w:szCs w:val="18"/>
        </w:rPr>
        <w:t>Elfeky</w:t>
      </w:r>
      <w:proofErr w:type="spellEnd"/>
      <w:r w:rsidRPr="001D7BD5">
        <w:rPr>
          <w:rFonts w:asciiTheme="majorBidi" w:hAnsiTheme="majorBidi" w:cstheme="majorBidi"/>
          <w:sz w:val="18"/>
          <w:szCs w:val="18"/>
        </w:rPr>
        <w:t xml:space="preserve">, M. and </w:t>
      </w:r>
      <w:proofErr w:type="spellStart"/>
      <w:r w:rsidRPr="001D7BD5">
        <w:rPr>
          <w:rFonts w:asciiTheme="majorBidi" w:hAnsiTheme="majorBidi" w:cstheme="majorBidi"/>
          <w:sz w:val="18"/>
          <w:szCs w:val="18"/>
        </w:rPr>
        <w:t>Nasiri</w:t>
      </w:r>
      <w:proofErr w:type="spellEnd"/>
      <w:r w:rsidRPr="001D7BD5">
        <w:rPr>
          <w:rFonts w:asciiTheme="majorBidi" w:hAnsiTheme="majorBidi" w:cstheme="majorBidi"/>
          <w:sz w:val="18"/>
          <w:szCs w:val="18"/>
        </w:rPr>
        <w:t>, A. (2017). The Determinants of Voluntary Disclosure in Emerging Markets: The Case of Egypt. Journal of Poverty, Vol.36.</w:t>
      </w:r>
    </w:p>
    <w:p w14:paraId="3FDF5ABB" w14:textId="3AE82C67" w:rsidR="00775AA2"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 xml:space="preserve">[56] Hair, J. F., </w:t>
      </w:r>
      <w:proofErr w:type="spellStart"/>
      <w:r w:rsidRPr="001D7BD5">
        <w:rPr>
          <w:rFonts w:asciiTheme="majorBidi" w:hAnsiTheme="majorBidi" w:cstheme="majorBidi"/>
          <w:sz w:val="18"/>
          <w:szCs w:val="18"/>
        </w:rPr>
        <w:t>Ringle</w:t>
      </w:r>
      <w:proofErr w:type="spellEnd"/>
      <w:r w:rsidRPr="001D7BD5">
        <w:rPr>
          <w:rFonts w:asciiTheme="majorBidi" w:hAnsiTheme="majorBidi" w:cstheme="majorBidi"/>
          <w:sz w:val="18"/>
          <w:szCs w:val="18"/>
        </w:rPr>
        <w:t xml:space="preserve">, C. M., &amp; </w:t>
      </w:r>
      <w:proofErr w:type="spellStart"/>
      <w:r w:rsidRPr="001D7BD5">
        <w:rPr>
          <w:rFonts w:asciiTheme="majorBidi" w:hAnsiTheme="majorBidi" w:cstheme="majorBidi"/>
          <w:sz w:val="18"/>
          <w:szCs w:val="18"/>
        </w:rPr>
        <w:t>Sarstedt</w:t>
      </w:r>
      <w:proofErr w:type="spellEnd"/>
      <w:r w:rsidRPr="001D7BD5">
        <w:rPr>
          <w:rFonts w:asciiTheme="majorBidi" w:hAnsiTheme="majorBidi" w:cstheme="majorBidi"/>
          <w:sz w:val="18"/>
          <w:szCs w:val="18"/>
        </w:rPr>
        <w:t>, M. (2011). PLS-SEM: Indeed, a silver bullet. Journal of Marketing theory and Practice, 19(2), 139-152.</w:t>
      </w:r>
      <w:r w:rsidRPr="001D7BD5">
        <w:rPr>
          <w:rFonts w:asciiTheme="majorBidi" w:hAnsiTheme="majorBidi" w:cstheme="majorBidi"/>
          <w:sz w:val="18"/>
          <w:szCs w:val="18"/>
          <w:rtl/>
        </w:rPr>
        <w:t>‏</w:t>
      </w:r>
    </w:p>
    <w:p w14:paraId="77FC4B66" w14:textId="24F8A089" w:rsidR="00E537E5" w:rsidRPr="001D7BD5" w:rsidRDefault="00E537E5" w:rsidP="00E537E5">
      <w:pPr>
        <w:bidi w:val="0"/>
        <w:jc w:val="both"/>
        <w:rPr>
          <w:rFonts w:asciiTheme="majorBidi" w:hAnsiTheme="majorBidi" w:cstheme="majorBidi"/>
          <w:sz w:val="18"/>
          <w:szCs w:val="18"/>
        </w:rPr>
      </w:pPr>
      <w:r>
        <w:rPr>
          <w:rFonts w:asciiTheme="majorBidi" w:hAnsiTheme="majorBidi" w:cstheme="majorBidi"/>
          <w:sz w:val="18"/>
          <w:szCs w:val="18"/>
        </w:rPr>
        <w:t xml:space="preserve">[57] </w:t>
      </w:r>
      <w:proofErr w:type="spellStart"/>
      <w:r w:rsidRPr="00E537E5">
        <w:rPr>
          <w:rFonts w:asciiTheme="majorBidi" w:hAnsiTheme="majorBidi" w:cstheme="majorBidi"/>
          <w:sz w:val="18"/>
          <w:szCs w:val="18"/>
          <w:lang w:val="en-GB"/>
        </w:rPr>
        <w:t>Dwekat</w:t>
      </w:r>
      <w:proofErr w:type="spellEnd"/>
      <w:r w:rsidRPr="00E537E5">
        <w:rPr>
          <w:rFonts w:asciiTheme="majorBidi" w:hAnsiTheme="majorBidi" w:cstheme="majorBidi"/>
          <w:sz w:val="18"/>
          <w:szCs w:val="18"/>
          <w:lang w:val="en-GB"/>
        </w:rPr>
        <w:t xml:space="preserve">, A., </w:t>
      </w:r>
      <w:proofErr w:type="spellStart"/>
      <w:r w:rsidRPr="00E537E5">
        <w:rPr>
          <w:rFonts w:asciiTheme="majorBidi" w:hAnsiTheme="majorBidi" w:cstheme="majorBidi"/>
          <w:sz w:val="18"/>
          <w:szCs w:val="18"/>
          <w:lang w:val="en-GB"/>
        </w:rPr>
        <w:t>Seguí</w:t>
      </w:r>
      <w:proofErr w:type="spellEnd"/>
      <w:r w:rsidRPr="00E537E5">
        <w:rPr>
          <w:rFonts w:asciiTheme="majorBidi" w:hAnsiTheme="majorBidi" w:cstheme="majorBidi"/>
          <w:sz w:val="18"/>
          <w:szCs w:val="18"/>
          <w:lang w:val="en-GB"/>
        </w:rPr>
        <w:t xml:space="preserve">-Mas, E., &amp; </w:t>
      </w:r>
      <w:proofErr w:type="spellStart"/>
      <w:r w:rsidRPr="00E537E5">
        <w:rPr>
          <w:rFonts w:asciiTheme="majorBidi" w:hAnsiTheme="majorBidi" w:cstheme="majorBidi"/>
          <w:sz w:val="18"/>
          <w:szCs w:val="18"/>
          <w:lang w:val="en-GB"/>
        </w:rPr>
        <w:t>Tormo-Carbó</w:t>
      </w:r>
      <w:proofErr w:type="spellEnd"/>
      <w:r w:rsidRPr="00E537E5">
        <w:rPr>
          <w:rFonts w:asciiTheme="majorBidi" w:hAnsiTheme="majorBidi" w:cstheme="majorBidi"/>
          <w:sz w:val="18"/>
          <w:szCs w:val="18"/>
          <w:lang w:val="en-GB"/>
        </w:rPr>
        <w:t>, G. (2020b). The effect of the board on corporate social responsibility: bibliometric and social network analysis. Economic research-</w:t>
      </w:r>
      <w:proofErr w:type="spellStart"/>
      <w:r w:rsidRPr="00E537E5">
        <w:rPr>
          <w:rFonts w:asciiTheme="majorBidi" w:hAnsiTheme="majorBidi" w:cstheme="majorBidi"/>
          <w:sz w:val="18"/>
          <w:szCs w:val="18"/>
          <w:lang w:val="en-GB"/>
        </w:rPr>
        <w:t>Ekonomska</w:t>
      </w:r>
      <w:proofErr w:type="spellEnd"/>
      <w:r w:rsidRPr="00E537E5">
        <w:rPr>
          <w:rFonts w:asciiTheme="majorBidi" w:hAnsiTheme="majorBidi" w:cstheme="majorBidi"/>
          <w:sz w:val="18"/>
          <w:szCs w:val="18"/>
          <w:lang w:val="en-GB"/>
        </w:rPr>
        <w:t xml:space="preserve"> </w:t>
      </w:r>
      <w:proofErr w:type="spellStart"/>
      <w:r w:rsidRPr="00E537E5">
        <w:rPr>
          <w:rFonts w:asciiTheme="majorBidi" w:hAnsiTheme="majorBidi" w:cstheme="majorBidi"/>
          <w:sz w:val="18"/>
          <w:szCs w:val="18"/>
          <w:lang w:val="en-GB"/>
        </w:rPr>
        <w:t>istraživanja</w:t>
      </w:r>
      <w:proofErr w:type="spellEnd"/>
      <w:r w:rsidRPr="00E537E5">
        <w:rPr>
          <w:rFonts w:asciiTheme="majorBidi" w:hAnsiTheme="majorBidi" w:cstheme="majorBidi"/>
          <w:sz w:val="18"/>
          <w:szCs w:val="18"/>
          <w:lang w:val="en-GB"/>
        </w:rPr>
        <w:t>, 33(1), 3580-3603.</w:t>
      </w:r>
    </w:p>
    <w:p w14:paraId="76A8978A" w14:textId="5C0C0E12"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[5</w:t>
      </w:r>
      <w:r w:rsidR="00E537E5">
        <w:rPr>
          <w:rFonts w:asciiTheme="majorBidi" w:hAnsiTheme="majorBidi" w:cstheme="majorBidi"/>
          <w:sz w:val="18"/>
          <w:szCs w:val="18"/>
        </w:rPr>
        <w:t>8</w:t>
      </w:r>
      <w:r w:rsidRPr="001D7BD5">
        <w:rPr>
          <w:rFonts w:asciiTheme="majorBidi" w:hAnsiTheme="majorBidi" w:cstheme="majorBidi"/>
          <w:sz w:val="18"/>
          <w:szCs w:val="18"/>
        </w:rPr>
        <w:t xml:space="preserve">] </w:t>
      </w:r>
      <w:proofErr w:type="spellStart"/>
      <w:r w:rsidRPr="001D7BD5">
        <w:rPr>
          <w:rFonts w:asciiTheme="majorBidi" w:hAnsiTheme="majorBidi" w:cstheme="majorBidi"/>
          <w:sz w:val="18"/>
          <w:szCs w:val="18"/>
        </w:rPr>
        <w:t>Eng</w:t>
      </w:r>
      <w:proofErr w:type="spellEnd"/>
      <w:r w:rsidRPr="001D7BD5">
        <w:rPr>
          <w:rFonts w:asciiTheme="majorBidi" w:hAnsiTheme="majorBidi" w:cstheme="majorBidi"/>
          <w:sz w:val="18"/>
          <w:szCs w:val="18"/>
        </w:rPr>
        <w:t xml:space="preserve">, L., and </w:t>
      </w:r>
      <w:proofErr w:type="spellStart"/>
      <w:r w:rsidRPr="001D7BD5">
        <w:rPr>
          <w:rFonts w:asciiTheme="majorBidi" w:hAnsiTheme="majorBidi" w:cstheme="majorBidi"/>
          <w:sz w:val="18"/>
          <w:szCs w:val="18"/>
        </w:rPr>
        <w:t>Mak</w:t>
      </w:r>
      <w:proofErr w:type="spellEnd"/>
      <w:r w:rsidRPr="001D7BD5">
        <w:rPr>
          <w:rFonts w:asciiTheme="majorBidi" w:hAnsiTheme="majorBidi" w:cstheme="majorBidi"/>
          <w:sz w:val="18"/>
          <w:szCs w:val="18"/>
        </w:rPr>
        <w:t xml:space="preserve">, Y. (2003). Corporate governance and voluntary disclosure. Journal of Accounting and Public Policy, 22(4), 325–345. </w:t>
      </w:r>
      <w:hyperlink r:id="rId24" w:history="1">
        <w:r w:rsidRPr="001D7BD5">
          <w:rPr>
            <w:rStyle w:val="Hyperlink"/>
            <w:rFonts w:asciiTheme="majorBidi" w:hAnsiTheme="majorBidi" w:cstheme="majorBidi"/>
            <w:color w:val="auto"/>
            <w:sz w:val="18"/>
            <w:szCs w:val="18"/>
            <w:u w:val="none"/>
          </w:rPr>
          <w:t>http://dx.doi.org/10.1016/S0278-4254(03)00037-1</w:t>
        </w:r>
      </w:hyperlink>
      <w:r w:rsidRPr="001D7BD5">
        <w:rPr>
          <w:rFonts w:asciiTheme="majorBidi" w:hAnsiTheme="majorBidi" w:cstheme="majorBidi"/>
          <w:sz w:val="18"/>
          <w:szCs w:val="18"/>
        </w:rPr>
        <w:t>.</w:t>
      </w:r>
    </w:p>
    <w:p w14:paraId="3CCA80A5" w14:textId="612D1D2B" w:rsidR="00775AA2" w:rsidRPr="001D7BD5"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rPr>
        <w:t>[5</w:t>
      </w:r>
      <w:r w:rsidR="00E537E5">
        <w:rPr>
          <w:rFonts w:asciiTheme="majorBidi" w:hAnsiTheme="majorBidi" w:cstheme="majorBidi"/>
          <w:sz w:val="18"/>
          <w:szCs w:val="18"/>
        </w:rPr>
        <w:t>9</w:t>
      </w:r>
      <w:r w:rsidRPr="001D7BD5">
        <w:rPr>
          <w:rFonts w:asciiTheme="majorBidi" w:hAnsiTheme="majorBidi" w:cstheme="majorBidi"/>
          <w:sz w:val="18"/>
          <w:szCs w:val="18"/>
        </w:rPr>
        <w:t xml:space="preserve">] </w:t>
      </w:r>
      <w:proofErr w:type="spellStart"/>
      <w:r w:rsidRPr="001D7BD5">
        <w:rPr>
          <w:rFonts w:asciiTheme="majorBidi" w:hAnsiTheme="majorBidi" w:cstheme="majorBidi"/>
          <w:sz w:val="18"/>
          <w:szCs w:val="18"/>
        </w:rPr>
        <w:t>Cucari</w:t>
      </w:r>
      <w:proofErr w:type="spellEnd"/>
      <w:r w:rsidRPr="001D7BD5">
        <w:rPr>
          <w:rFonts w:asciiTheme="majorBidi" w:hAnsiTheme="majorBidi" w:cstheme="majorBidi"/>
          <w:sz w:val="18"/>
          <w:szCs w:val="18"/>
        </w:rPr>
        <w:t>, N., Esposito de Falco, S., &amp; Orlando, B. (2018). Diversity of board of directors and environmental social governance: Evidence from Italian listed companies. Corporate Social Responsibility and Environmental Management, 25(3), 250-266.</w:t>
      </w:r>
    </w:p>
    <w:p w14:paraId="3FB608FE" w14:textId="0C5C7EEE" w:rsidR="00775AA2" w:rsidRPr="001D7BD5" w:rsidRDefault="00775AA2" w:rsidP="00775AA2">
      <w:pPr>
        <w:bidi w:val="0"/>
        <w:jc w:val="both"/>
        <w:rPr>
          <w:rFonts w:asciiTheme="majorBidi" w:hAnsiTheme="majorBidi" w:cstheme="majorBidi"/>
          <w:sz w:val="18"/>
          <w:szCs w:val="18"/>
          <w:lang w:val="es-ES_tradnl"/>
        </w:rPr>
      </w:pPr>
      <w:r w:rsidRPr="001D7BD5">
        <w:rPr>
          <w:rFonts w:asciiTheme="majorBidi" w:hAnsiTheme="majorBidi" w:cstheme="majorBidi"/>
          <w:sz w:val="18"/>
          <w:szCs w:val="18"/>
        </w:rPr>
        <w:t>[</w:t>
      </w:r>
      <w:r w:rsidR="00E537E5">
        <w:rPr>
          <w:rFonts w:asciiTheme="majorBidi" w:hAnsiTheme="majorBidi" w:cstheme="majorBidi"/>
          <w:sz w:val="18"/>
          <w:szCs w:val="18"/>
        </w:rPr>
        <w:t>60</w:t>
      </w:r>
      <w:r w:rsidRPr="001D7BD5">
        <w:rPr>
          <w:rFonts w:asciiTheme="majorBidi" w:hAnsiTheme="majorBidi" w:cstheme="majorBidi"/>
          <w:sz w:val="18"/>
          <w:szCs w:val="18"/>
        </w:rPr>
        <w:t xml:space="preserve">] </w:t>
      </w:r>
      <w:proofErr w:type="spellStart"/>
      <w:r w:rsidRPr="001D7BD5">
        <w:rPr>
          <w:rFonts w:asciiTheme="majorBidi" w:hAnsiTheme="majorBidi" w:cstheme="majorBidi"/>
          <w:sz w:val="18"/>
          <w:szCs w:val="18"/>
          <w:lang w:val="es-ES_tradnl"/>
        </w:rPr>
        <w:t>Muttakin</w:t>
      </w:r>
      <w:proofErr w:type="spellEnd"/>
      <w:r w:rsidRPr="001D7BD5">
        <w:rPr>
          <w:rFonts w:asciiTheme="majorBidi" w:hAnsiTheme="majorBidi" w:cstheme="majorBidi"/>
          <w:sz w:val="18"/>
          <w:szCs w:val="18"/>
          <w:lang w:val="es-ES_tradnl"/>
        </w:rPr>
        <w:t xml:space="preserve">, M.B., </w:t>
      </w:r>
      <w:proofErr w:type="spellStart"/>
      <w:r w:rsidRPr="001D7BD5">
        <w:rPr>
          <w:rFonts w:asciiTheme="majorBidi" w:hAnsiTheme="majorBidi" w:cstheme="majorBidi"/>
          <w:sz w:val="18"/>
          <w:szCs w:val="18"/>
          <w:lang w:val="es-ES_tradnl"/>
        </w:rPr>
        <w:t>Khan</w:t>
      </w:r>
      <w:proofErr w:type="spellEnd"/>
      <w:r w:rsidRPr="001D7BD5">
        <w:rPr>
          <w:rFonts w:asciiTheme="majorBidi" w:hAnsiTheme="majorBidi" w:cstheme="majorBidi"/>
          <w:sz w:val="18"/>
          <w:szCs w:val="18"/>
          <w:lang w:val="es-ES_tradnl"/>
        </w:rPr>
        <w:t xml:space="preserve">, A. and </w:t>
      </w:r>
      <w:proofErr w:type="spellStart"/>
      <w:r w:rsidRPr="001D7BD5">
        <w:rPr>
          <w:rFonts w:asciiTheme="majorBidi" w:hAnsiTheme="majorBidi" w:cstheme="majorBidi"/>
          <w:sz w:val="18"/>
          <w:szCs w:val="18"/>
          <w:lang w:val="es-ES_tradnl"/>
        </w:rPr>
        <w:t>Mihret</w:t>
      </w:r>
      <w:proofErr w:type="spellEnd"/>
      <w:r w:rsidRPr="001D7BD5">
        <w:rPr>
          <w:rFonts w:asciiTheme="majorBidi" w:hAnsiTheme="majorBidi" w:cstheme="majorBidi"/>
          <w:sz w:val="18"/>
          <w:szCs w:val="18"/>
          <w:lang w:val="es-ES_tradnl"/>
        </w:rPr>
        <w:t>, D.G. (2018), “</w:t>
      </w:r>
      <w:proofErr w:type="spellStart"/>
      <w:r w:rsidRPr="001D7BD5">
        <w:rPr>
          <w:rFonts w:asciiTheme="majorBidi" w:hAnsiTheme="majorBidi" w:cstheme="majorBidi"/>
          <w:sz w:val="18"/>
          <w:szCs w:val="18"/>
          <w:lang w:val="es-ES_tradnl"/>
        </w:rPr>
        <w:t>The</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effect</w:t>
      </w:r>
      <w:proofErr w:type="spellEnd"/>
      <w:r w:rsidRPr="001D7BD5">
        <w:rPr>
          <w:rFonts w:asciiTheme="majorBidi" w:hAnsiTheme="majorBidi" w:cstheme="majorBidi"/>
          <w:sz w:val="18"/>
          <w:szCs w:val="18"/>
          <w:lang w:val="es-ES_tradnl"/>
        </w:rPr>
        <w:t xml:space="preserve"> of </w:t>
      </w:r>
      <w:proofErr w:type="spellStart"/>
      <w:r w:rsidRPr="001D7BD5">
        <w:rPr>
          <w:rFonts w:asciiTheme="majorBidi" w:hAnsiTheme="majorBidi" w:cstheme="majorBidi"/>
          <w:sz w:val="18"/>
          <w:szCs w:val="18"/>
          <w:lang w:val="es-ES_tradnl"/>
        </w:rPr>
        <w:t>board</w:t>
      </w:r>
      <w:proofErr w:type="spellEnd"/>
      <w:r w:rsidRPr="001D7BD5">
        <w:rPr>
          <w:rFonts w:asciiTheme="majorBidi" w:hAnsiTheme="majorBidi" w:cstheme="majorBidi"/>
          <w:sz w:val="18"/>
          <w:szCs w:val="18"/>
          <w:lang w:val="es-ES_tradnl"/>
        </w:rPr>
        <w:t xml:space="preserve"> Capital and CEO </w:t>
      </w:r>
      <w:proofErr w:type="spellStart"/>
      <w:r w:rsidRPr="001D7BD5">
        <w:rPr>
          <w:rFonts w:asciiTheme="majorBidi" w:hAnsiTheme="majorBidi" w:cstheme="majorBidi"/>
          <w:sz w:val="18"/>
          <w:szCs w:val="18"/>
          <w:lang w:val="es-ES_tradnl"/>
        </w:rPr>
        <w:t>power</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on</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corporate</w:t>
      </w:r>
      <w:proofErr w:type="spellEnd"/>
      <w:r w:rsidRPr="001D7BD5">
        <w:rPr>
          <w:rFonts w:asciiTheme="majorBidi" w:hAnsiTheme="majorBidi" w:cstheme="majorBidi"/>
          <w:sz w:val="18"/>
          <w:szCs w:val="18"/>
          <w:lang w:val="es-ES_tradnl"/>
        </w:rPr>
        <w:t xml:space="preserve"> social </w:t>
      </w:r>
      <w:proofErr w:type="spellStart"/>
      <w:r w:rsidRPr="001D7BD5">
        <w:rPr>
          <w:rFonts w:asciiTheme="majorBidi" w:hAnsiTheme="majorBidi" w:cstheme="majorBidi"/>
          <w:sz w:val="18"/>
          <w:szCs w:val="18"/>
          <w:lang w:val="es-ES_tradnl"/>
        </w:rPr>
        <w:t>responsibility</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disclosures</w:t>
      </w:r>
      <w:proofErr w:type="spellEnd"/>
      <w:r w:rsidRPr="001D7BD5">
        <w:rPr>
          <w:rFonts w:asciiTheme="majorBidi" w:hAnsiTheme="majorBidi" w:cstheme="majorBidi"/>
          <w:sz w:val="18"/>
          <w:szCs w:val="18"/>
          <w:lang w:val="es-ES_tradnl"/>
        </w:rPr>
        <w:t xml:space="preserve">”, </w:t>
      </w:r>
      <w:proofErr w:type="spellStart"/>
      <w:r w:rsidRPr="001D7BD5">
        <w:rPr>
          <w:rFonts w:asciiTheme="majorBidi" w:hAnsiTheme="majorBidi" w:cstheme="majorBidi"/>
          <w:sz w:val="18"/>
          <w:szCs w:val="18"/>
          <w:lang w:val="es-ES_tradnl"/>
        </w:rPr>
        <w:t>Journal</w:t>
      </w:r>
      <w:proofErr w:type="spellEnd"/>
      <w:r w:rsidRPr="001D7BD5">
        <w:rPr>
          <w:rFonts w:asciiTheme="majorBidi" w:hAnsiTheme="majorBidi" w:cstheme="majorBidi"/>
          <w:sz w:val="18"/>
          <w:szCs w:val="18"/>
          <w:lang w:val="es-ES_tradnl"/>
        </w:rPr>
        <w:t xml:space="preserve"> of Business </w:t>
      </w:r>
      <w:proofErr w:type="spellStart"/>
      <w:r w:rsidRPr="001D7BD5">
        <w:rPr>
          <w:rFonts w:asciiTheme="majorBidi" w:hAnsiTheme="majorBidi" w:cstheme="majorBidi"/>
          <w:sz w:val="18"/>
          <w:szCs w:val="18"/>
          <w:lang w:val="es-ES_tradnl"/>
        </w:rPr>
        <w:t>Ethics</w:t>
      </w:r>
      <w:proofErr w:type="spellEnd"/>
      <w:r w:rsidRPr="001D7BD5">
        <w:rPr>
          <w:rFonts w:asciiTheme="majorBidi" w:hAnsiTheme="majorBidi" w:cstheme="majorBidi"/>
          <w:sz w:val="18"/>
          <w:szCs w:val="18"/>
          <w:lang w:val="es-ES_tradnl"/>
        </w:rPr>
        <w:t xml:space="preserve">, Vol. 150 No. 1, pp. 41-56, </w:t>
      </w:r>
      <w:proofErr w:type="spellStart"/>
      <w:r w:rsidRPr="001D7BD5">
        <w:rPr>
          <w:rFonts w:asciiTheme="majorBidi" w:hAnsiTheme="majorBidi" w:cstheme="majorBidi"/>
          <w:sz w:val="18"/>
          <w:szCs w:val="18"/>
          <w:lang w:val="es-ES_tradnl"/>
        </w:rPr>
        <w:t>doi</w:t>
      </w:r>
      <w:proofErr w:type="spellEnd"/>
      <w:r w:rsidRPr="001D7BD5">
        <w:rPr>
          <w:rFonts w:asciiTheme="majorBidi" w:hAnsiTheme="majorBidi" w:cstheme="majorBidi"/>
          <w:sz w:val="18"/>
          <w:szCs w:val="18"/>
          <w:lang w:val="es-ES_tradnl"/>
        </w:rPr>
        <w:t>: 10.1007/s10551-016-3105-y.</w:t>
      </w:r>
    </w:p>
    <w:p w14:paraId="4583C3F3" w14:textId="2A0A364A" w:rsidR="00775AA2" w:rsidRPr="001D7BD5" w:rsidRDefault="00775AA2" w:rsidP="00775AA2">
      <w:pPr>
        <w:bidi w:val="0"/>
        <w:jc w:val="both"/>
        <w:rPr>
          <w:rFonts w:asciiTheme="majorBidi" w:hAnsiTheme="majorBidi" w:cstheme="majorBidi"/>
          <w:sz w:val="18"/>
          <w:szCs w:val="18"/>
          <w:lang w:val="en-GB"/>
        </w:rPr>
      </w:pPr>
      <w:r w:rsidRPr="001D7BD5">
        <w:rPr>
          <w:rFonts w:asciiTheme="majorBidi" w:hAnsiTheme="majorBidi" w:cstheme="majorBidi"/>
          <w:sz w:val="18"/>
          <w:szCs w:val="18"/>
          <w:lang w:val="es-ES_tradnl"/>
        </w:rPr>
        <w:t>[6</w:t>
      </w:r>
      <w:r w:rsidR="00E537E5">
        <w:rPr>
          <w:rFonts w:asciiTheme="majorBidi" w:hAnsiTheme="majorBidi" w:cstheme="majorBidi"/>
          <w:sz w:val="18"/>
          <w:szCs w:val="18"/>
          <w:lang w:val="es-ES_tradnl"/>
        </w:rPr>
        <w:t>1</w:t>
      </w:r>
      <w:r w:rsidRPr="001D7BD5">
        <w:rPr>
          <w:rFonts w:asciiTheme="majorBidi" w:hAnsiTheme="majorBidi" w:cstheme="majorBidi"/>
          <w:sz w:val="18"/>
          <w:szCs w:val="18"/>
          <w:lang w:val="es-ES_tradnl"/>
        </w:rPr>
        <w:t xml:space="preserve">] </w:t>
      </w:r>
      <w:r w:rsidRPr="001D7BD5">
        <w:rPr>
          <w:rFonts w:asciiTheme="majorBidi" w:hAnsiTheme="majorBidi" w:cstheme="majorBidi"/>
          <w:sz w:val="18"/>
          <w:szCs w:val="18"/>
          <w:lang w:val="en-GB"/>
        </w:rPr>
        <w:t xml:space="preserve">Kramer, V.W., Konrad, A.M. and </w:t>
      </w:r>
      <w:proofErr w:type="spellStart"/>
      <w:r w:rsidRPr="001D7BD5">
        <w:rPr>
          <w:rFonts w:asciiTheme="majorBidi" w:hAnsiTheme="majorBidi" w:cstheme="majorBidi"/>
          <w:sz w:val="18"/>
          <w:szCs w:val="18"/>
          <w:lang w:val="en-GB"/>
        </w:rPr>
        <w:t>Erkut</w:t>
      </w:r>
      <w:proofErr w:type="spellEnd"/>
      <w:r w:rsidRPr="001D7BD5">
        <w:rPr>
          <w:rFonts w:asciiTheme="majorBidi" w:hAnsiTheme="majorBidi" w:cstheme="majorBidi"/>
          <w:sz w:val="18"/>
          <w:szCs w:val="18"/>
          <w:lang w:val="en-GB"/>
        </w:rPr>
        <w:t xml:space="preserve">, S. (2006), “Critical mass on corporate boards: Why three or more women enhance governance”, Wellesley </w:t>
      </w:r>
      <w:proofErr w:type="spellStart"/>
      <w:r w:rsidRPr="001D7BD5">
        <w:rPr>
          <w:rFonts w:asciiTheme="majorBidi" w:hAnsiTheme="majorBidi" w:cstheme="majorBidi"/>
          <w:sz w:val="18"/>
          <w:szCs w:val="18"/>
          <w:lang w:val="en-GB"/>
        </w:rPr>
        <w:t>Centers</w:t>
      </w:r>
      <w:proofErr w:type="spellEnd"/>
      <w:r w:rsidRPr="001D7BD5">
        <w:rPr>
          <w:rFonts w:asciiTheme="majorBidi" w:hAnsiTheme="majorBidi" w:cstheme="majorBidi"/>
          <w:sz w:val="18"/>
          <w:szCs w:val="18"/>
          <w:lang w:val="en-GB"/>
        </w:rPr>
        <w:t xml:space="preserve"> for Women Special Report No. WCW11, Wellesley </w:t>
      </w:r>
      <w:proofErr w:type="spellStart"/>
      <w:r w:rsidRPr="001D7BD5">
        <w:rPr>
          <w:rFonts w:asciiTheme="majorBidi" w:hAnsiTheme="majorBidi" w:cstheme="majorBidi"/>
          <w:sz w:val="18"/>
          <w:szCs w:val="18"/>
          <w:lang w:val="en-GB"/>
        </w:rPr>
        <w:t>Centers</w:t>
      </w:r>
      <w:proofErr w:type="spellEnd"/>
      <w:r w:rsidRPr="001D7BD5">
        <w:rPr>
          <w:rFonts w:asciiTheme="majorBidi" w:hAnsiTheme="majorBidi" w:cstheme="majorBidi"/>
          <w:sz w:val="18"/>
          <w:szCs w:val="18"/>
          <w:lang w:val="en-GB"/>
        </w:rPr>
        <w:t xml:space="preserve"> for Women Publications, Wellesley, USA.</w:t>
      </w:r>
    </w:p>
    <w:p w14:paraId="6B012CA6" w14:textId="16377430" w:rsidR="00775AA2" w:rsidRDefault="00775AA2" w:rsidP="00775AA2">
      <w:pPr>
        <w:bidi w:val="0"/>
        <w:jc w:val="both"/>
        <w:rPr>
          <w:rFonts w:asciiTheme="majorBidi" w:hAnsiTheme="majorBidi" w:cstheme="majorBidi"/>
          <w:sz w:val="18"/>
          <w:szCs w:val="18"/>
        </w:rPr>
      </w:pPr>
      <w:r w:rsidRPr="001D7BD5">
        <w:rPr>
          <w:rFonts w:asciiTheme="majorBidi" w:hAnsiTheme="majorBidi" w:cstheme="majorBidi"/>
          <w:sz w:val="18"/>
          <w:szCs w:val="18"/>
          <w:lang w:val="en-GB"/>
        </w:rPr>
        <w:t>[6</w:t>
      </w:r>
      <w:r w:rsidR="00E537E5">
        <w:rPr>
          <w:rFonts w:asciiTheme="majorBidi" w:hAnsiTheme="majorBidi" w:cstheme="majorBidi"/>
          <w:sz w:val="18"/>
          <w:szCs w:val="18"/>
          <w:lang w:val="en-GB"/>
        </w:rPr>
        <w:t>2</w:t>
      </w:r>
      <w:r w:rsidRPr="001D7BD5">
        <w:rPr>
          <w:rFonts w:asciiTheme="majorBidi" w:hAnsiTheme="majorBidi" w:cstheme="majorBidi"/>
          <w:sz w:val="18"/>
          <w:szCs w:val="18"/>
          <w:lang w:val="en-GB"/>
        </w:rPr>
        <w:t xml:space="preserve">] </w:t>
      </w:r>
      <w:r w:rsidRPr="001D7BD5">
        <w:rPr>
          <w:rFonts w:asciiTheme="majorBidi" w:hAnsiTheme="majorBidi" w:cstheme="majorBidi"/>
          <w:sz w:val="18"/>
          <w:szCs w:val="18"/>
        </w:rPr>
        <w:t xml:space="preserve">Hossain, M. and </w:t>
      </w:r>
      <w:proofErr w:type="spellStart"/>
      <w:r w:rsidRPr="001D7BD5">
        <w:rPr>
          <w:rFonts w:asciiTheme="majorBidi" w:hAnsiTheme="majorBidi" w:cstheme="majorBidi"/>
          <w:sz w:val="18"/>
          <w:szCs w:val="18"/>
        </w:rPr>
        <w:t>Hammami</w:t>
      </w:r>
      <w:proofErr w:type="spellEnd"/>
      <w:r w:rsidRPr="001D7BD5">
        <w:rPr>
          <w:rFonts w:asciiTheme="majorBidi" w:hAnsiTheme="majorBidi" w:cstheme="majorBidi"/>
          <w:sz w:val="18"/>
          <w:szCs w:val="18"/>
        </w:rPr>
        <w:t>, H., (2009). Voluntary disclosure in the annual reports of an emerging country: the case of Qatar. Advances in International Accounting, 25: 255-265.</w:t>
      </w:r>
    </w:p>
    <w:p w14:paraId="5D8D95E4" w14:textId="6825AE42" w:rsidR="00414E90" w:rsidRDefault="00414E90" w:rsidP="00414E90">
      <w:pPr>
        <w:shd w:val="clear" w:color="auto" w:fill="FFFFFF"/>
        <w:bidi w:val="0"/>
        <w:spacing w:after="0" w:afterAutospacing="1" w:line="240" w:lineRule="auto"/>
        <w:rPr>
          <w:rFonts w:asciiTheme="majorBidi" w:hAnsiTheme="majorBidi" w:cstheme="majorBidi"/>
          <w:lang w:val="en-GB"/>
        </w:rPr>
      </w:pPr>
      <w:r w:rsidRPr="001D7BD5">
        <w:rPr>
          <w:rFonts w:asciiTheme="majorBidi" w:hAnsiTheme="majorBidi" w:cstheme="majorBidi"/>
          <w:sz w:val="18"/>
          <w:szCs w:val="18"/>
          <w:lang w:val="en-GB"/>
        </w:rPr>
        <w:t>[6</w:t>
      </w:r>
      <w:r>
        <w:rPr>
          <w:rFonts w:asciiTheme="majorBidi" w:hAnsiTheme="majorBidi" w:cstheme="majorBidi"/>
          <w:sz w:val="18"/>
          <w:szCs w:val="18"/>
          <w:lang w:val="en-GB"/>
        </w:rPr>
        <w:t>3</w:t>
      </w:r>
      <w:r w:rsidRPr="001D7BD5">
        <w:rPr>
          <w:rFonts w:asciiTheme="majorBidi" w:hAnsiTheme="majorBidi" w:cstheme="majorBidi"/>
          <w:sz w:val="18"/>
          <w:szCs w:val="18"/>
          <w:lang w:val="en-GB"/>
        </w:rPr>
        <w:t>]</w:t>
      </w:r>
      <w:r w:rsidRPr="00414E90">
        <w:t xml:space="preserve"> </w:t>
      </w:r>
      <w:r w:rsidRPr="00414E90">
        <w:rPr>
          <w:rFonts w:asciiTheme="majorBidi" w:hAnsiTheme="majorBidi" w:cstheme="majorBidi"/>
          <w:sz w:val="18"/>
          <w:szCs w:val="18"/>
          <w:lang w:val="en-GB"/>
        </w:rPr>
        <w:t xml:space="preserve">Mai </w:t>
      </w:r>
      <w:proofErr w:type="spellStart"/>
      <w:r w:rsidRPr="00414E90">
        <w:rPr>
          <w:rFonts w:asciiTheme="majorBidi" w:hAnsiTheme="majorBidi" w:cstheme="majorBidi"/>
          <w:sz w:val="18"/>
          <w:szCs w:val="18"/>
          <w:lang w:val="en-GB"/>
        </w:rPr>
        <w:t>Jabarin</w:t>
      </w:r>
      <w:proofErr w:type="spellEnd"/>
      <w:r w:rsidRPr="00414E90">
        <w:rPr>
          <w:rFonts w:asciiTheme="majorBidi" w:hAnsiTheme="majorBidi" w:cstheme="majorBidi"/>
          <w:sz w:val="18"/>
          <w:szCs w:val="18"/>
          <w:lang w:val="en-GB"/>
        </w:rPr>
        <w:t xml:space="preserve">, </w:t>
      </w:r>
      <w:proofErr w:type="spellStart"/>
      <w:r w:rsidRPr="00414E90">
        <w:rPr>
          <w:rFonts w:asciiTheme="majorBidi" w:hAnsiTheme="majorBidi" w:cstheme="majorBidi"/>
          <w:sz w:val="18"/>
          <w:szCs w:val="18"/>
          <w:lang w:val="en-GB"/>
        </w:rPr>
        <w:t>Abdulnaser</w:t>
      </w:r>
      <w:proofErr w:type="spellEnd"/>
      <w:r w:rsidRPr="00414E90">
        <w:rPr>
          <w:rFonts w:asciiTheme="majorBidi" w:hAnsiTheme="majorBidi" w:cstheme="majorBidi"/>
          <w:sz w:val="18"/>
          <w:szCs w:val="18"/>
          <w:lang w:val="en-GB"/>
        </w:rPr>
        <w:t xml:space="preserve"> </w:t>
      </w:r>
      <w:proofErr w:type="spellStart"/>
      <w:r w:rsidRPr="00414E90">
        <w:rPr>
          <w:rFonts w:asciiTheme="majorBidi" w:hAnsiTheme="majorBidi" w:cstheme="majorBidi"/>
          <w:sz w:val="18"/>
          <w:szCs w:val="18"/>
          <w:lang w:val="en-GB"/>
        </w:rPr>
        <w:t>Nour</w:t>
      </w:r>
      <w:proofErr w:type="spellEnd"/>
      <w:r w:rsidRPr="00414E90">
        <w:rPr>
          <w:rFonts w:asciiTheme="majorBidi" w:hAnsiTheme="majorBidi" w:cstheme="majorBidi"/>
          <w:sz w:val="18"/>
          <w:szCs w:val="18"/>
          <w:lang w:val="en-GB"/>
        </w:rPr>
        <w:t xml:space="preserve"> and </w:t>
      </w:r>
      <w:proofErr w:type="spellStart"/>
      <w:r w:rsidRPr="00414E90">
        <w:rPr>
          <w:rFonts w:asciiTheme="majorBidi" w:hAnsiTheme="majorBidi" w:cstheme="majorBidi"/>
          <w:sz w:val="18"/>
          <w:szCs w:val="18"/>
          <w:lang w:val="en-GB"/>
        </w:rPr>
        <w:t>Sameh</w:t>
      </w:r>
      <w:proofErr w:type="spellEnd"/>
      <w:r w:rsidRPr="00414E90">
        <w:rPr>
          <w:rFonts w:asciiTheme="majorBidi" w:hAnsiTheme="majorBidi" w:cstheme="majorBidi"/>
          <w:sz w:val="18"/>
          <w:szCs w:val="18"/>
          <w:lang w:val="en-GB"/>
        </w:rPr>
        <w:t xml:space="preserve"> </w:t>
      </w:r>
      <w:proofErr w:type="spellStart"/>
      <w:r w:rsidRPr="00414E90">
        <w:rPr>
          <w:rFonts w:asciiTheme="majorBidi" w:hAnsiTheme="majorBidi" w:cstheme="majorBidi"/>
          <w:sz w:val="18"/>
          <w:szCs w:val="18"/>
          <w:lang w:val="en-GB"/>
        </w:rPr>
        <w:t>Atout</w:t>
      </w:r>
      <w:proofErr w:type="spellEnd"/>
      <w:r w:rsidRPr="00414E90">
        <w:rPr>
          <w:rFonts w:asciiTheme="majorBidi" w:hAnsiTheme="majorBidi" w:cstheme="majorBidi"/>
          <w:sz w:val="18"/>
          <w:szCs w:val="18"/>
          <w:lang w:val="en-GB"/>
        </w:rPr>
        <w:t xml:space="preserve"> (2019). Impact of macroeconomic factors and political events on the market index returns at Palestine and Amman Stock Markets (2011–2017). Investment Management and Financial Innovations, 16(4), 156-167. </w:t>
      </w:r>
      <w:hyperlink r:id="rId25" w:history="1">
        <w:r w:rsidRPr="00D645B8">
          <w:rPr>
            <w:rFonts w:asciiTheme="majorBidi" w:hAnsiTheme="majorBidi" w:cstheme="majorBidi"/>
            <w:sz w:val="18"/>
            <w:szCs w:val="18"/>
            <w:lang w:val="en-GB"/>
          </w:rPr>
          <w:t>http://dx.doi.org/10.21511/imfi.16(4).2019.14</w:t>
        </w:r>
      </w:hyperlink>
    </w:p>
    <w:p w14:paraId="7B1DE890" w14:textId="456FD074" w:rsidR="00414E90" w:rsidRPr="0065158F" w:rsidRDefault="00414E90" w:rsidP="00414E90">
      <w:pPr>
        <w:shd w:val="clear" w:color="auto" w:fill="FCFCFC"/>
        <w:bidi w:val="0"/>
        <w:spacing w:after="240" w:line="240" w:lineRule="auto"/>
      </w:pPr>
      <w:r w:rsidRPr="00414E90">
        <w:rPr>
          <w:rFonts w:asciiTheme="majorBidi" w:hAnsiTheme="majorBidi" w:cstheme="majorBidi"/>
          <w:sz w:val="18"/>
          <w:szCs w:val="18"/>
          <w:lang w:val="en-GB"/>
        </w:rPr>
        <w:t>[64]</w:t>
      </w:r>
      <w:r w:rsidRPr="00414E90">
        <w:rPr>
          <w:rFonts w:ascii="Segoe UI" w:hAnsi="Segoe UI" w:cs="Segoe UI"/>
          <w:color w:val="333333"/>
          <w:sz w:val="20"/>
          <w:szCs w:val="20"/>
          <w:shd w:val="clear" w:color="auto" w:fill="FCFCFC"/>
        </w:rPr>
        <w:t xml:space="preserve"> </w:t>
      </w:r>
      <w:r w:rsidRPr="00414E90">
        <w:rPr>
          <w:rFonts w:asciiTheme="majorBidi" w:hAnsiTheme="majorBidi" w:cstheme="majorBidi"/>
          <w:sz w:val="18"/>
          <w:szCs w:val="18"/>
          <w:lang w:val="en-GB"/>
        </w:rPr>
        <w:t xml:space="preserve">Jalal, G., </w:t>
      </w:r>
      <w:proofErr w:type="spellStart"/>
      <w:r w:rsidRPr="00414E90">
        <w:rPr>
          <w:rFonts w:asciiTheme="majorBidi" w:hAnsiTheme="majorBidi" w:cstheme="majorBidi"/>
          <w:sz w:val="18"/>
          <w:szCs w:val="18"/>
          <w:lang w:val="en-GB"/>
        </w:rPr>
        <w:t>Alkoni</w:t>
      </w:r>
      <w:proofErr w:type="spellEnd"/>
      <w:r w:rsidRPr="00414E90">
        <w:rPr>
          <w:rFonts w:asciiTheme="majorBidi" w:hAnsiTheme="majorBidi" w:cstheme="majorBidi"/>
          <w:sz w:val="18"/>
          <w:szCs w:val="18"/>
          <w:lang w:val="en-GB"/>
        </w:rPr>
        <w:t xml:space="preserve">, S., </w:t>
      </w:r>
      <w:proofErr w:type="spellStart"/>
      <w:r w:rsidRPr="00414E90">
        <w:rPr>
          <w:rFonts w:asciiTheme="majorBidi" w:hAnsiTheme="majorBidi" w:cstheme="majorBidi"/>
          <w:sz w:val="18"/>
          <w:szCs w:val="18"/>
          <w:lang w:val="en-GB"/>
        </w:rPr>
        <w:t>Nour</w:t>
      </w:r>
      <w:proofErr w:type="spellEnd"/>
      <w:r w:rsidRPr="00414E90">
        <w:rPr>
          <w:rFonts w:asciiTheme="majorBidi" w:hAnsiTheme="majorBidi" w:cstheme="majorBidi"/>
          <w:sz w:val="18"/>
          <w:szCs w:val="18"/>
          <w:lang w:val="en-GB"/>
        </w:rPr>
        <w:t xml:space="preserve">, A.I. (2023). Impact of Board Characteristics on the Corporate Dividends Payout: Evidence from Palestinian Stock Market. In: </w:t>
      </w:r>
      <w:proofErr w:type="spellStart"/>
      <w:r w:rsidRPr="00414E90">
        <w:rPr>
          <w:rFonts w:asciiTheme="majorBidi" w:hAnsiTheme="majorBidi" w:cstheme="majorBidi"/>
          <w:sz w:val="18"/>
          <w:szCs w:val="18"/>
          <w:lang w:val="en-GB"/>
        </w:rPr>
        <w:t>Alareeni</w:t>
      </w:r>
      <w:proofErr w:type="spellEnd"/>
      <w:r w:rsidRPr="00414E90">
        <w:rPr>
          <w:rFonts w:asciiTheme="majorBidi" w:hAnsiTheme="majorBidi" w:cstheme="majorBidi"/>
          <w:sz w:val="18"/>
          <w:szCs w:val="18"/>
          <w:lang w:val="en-GB"/>
        </w:rPr>
        <w:t xml:space="preserve">, B., </w:t>
      </w:r>
      <w:proofErr w:type="spellStart"/>
      <w:r w:rsidRPr="00414E90">
        <w:rPr>
          <w:rFonts w:asciiTheme="majorBidi" w:hAnsiTheme="majorBidi" w:cstheme="majorBidi"/>
          <w:sz w:val="18"/>
          <w:szCs w:val="18"/>
          <w:lang w:val="en-GB"/>
        </w:rPr>
        <w:t>Hamdan</w:t>
      </w:r>
      <w:proofErr w:type="spellEnd"/>
      <w:r w:rsidRPr="00414E90">
        <w:rPr>
          <w:rFonts w:asciiTheme="majorBidi" w:hAnsiTheme="majorBidi" w:cstheme="majorBidi"/>
          <w:sz w:val="18"/>
          <w:szCs w:val="18"/>
          <w:lang w:val="en-GB"/>
        </w:rPr>
        <w:t>, A. (</w:t>
      </w:r>
      <w:proofErr w:type="spellStart"/>
      <w:r w:rsidRPr="00414E90">
        <w:rPr>
          <w:rFonts w:asciiTheme="majorBidi" w:hAnsiTheme="majorBidi" w:cstheme="majorBidi"/>
          <w:sz w:val="18"/>
          <w:szCs w:val="18"/>
          <w:lang w:val="en-GB"/>
        </w:rPr>
        <w:t>eds</w:t>
      </w:r>
      <w:proofErr w:type="spellEnd"/>
      <w:r w:rsidRPr="00414E90">
        <w:rPr>
          <w:rFonts w:asciiTheme="majorBidi" w:hAnsiTheme="majorBidi" w:cstheme="majorBidi"/>
          <w:sz w:val="18"/>
          <w:szCs w:val="18"/>
          <w:lang w:val="en-GB"/>
        </w:rPr>
        <w:t xml:space="preserve">) Explore Business, Technology Opportunities and Challenges </w:t>
      </w:r>
      <w:r w:rsidRPr="00414E90">
        <w:rPr>
          <w:rFonts w:asciiTheme="majorBidi" w:hAnsiTheme="majorBidi" w:cstheme="majorBidi"/>
          <w:sz w:val="18"/>
          <w:szCs w:val="18"/>
          <w:cs/>
          <w:lang w:val="en-GB"/>
        </w:rPr>
        <w:t>‎</w:t>
      </w:r>
      <w:r w:rsidRPr="00414E90">
        <w:rPr>
          <w:rFonts w:asciiTheme="majorBidi" w:hAnsiTheme="majorBidi" w:cstheme="majorBidi"/>
          <w:sz w:val="18"/>
          <w:szCs w:val="18"/>
          <w:lang w:val="en-GB"/>
        </w:rPr>
        <w:t xml:space="preserve">After the Covid-19 Pandemic. ICBT 2022. Lecture Notes in Networks and Systems, </w:t>
      </w:r>
      <w:proofErr w:type="spellStart"/>
      <w:r w:rsidRPr="00414E90">
        <w:rPr>
          <w:rFonts w:asciiTheme="majorBidi" w:hAnsiTheme="majorBidi" w:cstheme="majorBidi"/>
          <w:sz w:val="18"/>
          <w:szCs w:val="18"/>
          <w:lang w:val="en-GB"/>
        </w:rPr>
        <w:t>vol</w:t>
      </w:r>
      <w:proofErr w:type="spellEnd"/>
      <w:r w:rsidRPr="00414E90">
        <w:rPr>
          <w:rFonts w:asciiTheme="majorBidi" w:hAnsiTheme="majorBidi" w:cstheme="majorBidi"/>
          <w:sz w:val="18"/>
          <w:szCs w:val="18"/>
          <w:lang w:val="en-GB"/>
        </w:rPr>
        <w:t xml:space="preserve"> 495.pp550-569. Springer, Cham. https://doi.org/10.1007/978-3-031-08954-1_49</w:t>
      </w:r>
    </w:p>
    <w:p w14:paraId="12944B35" w14:textId="03B14215" w:rsidR="00D645B8" w:rsidRDefault="00D645B8" w:rsidP="00D645B8">
      <w:pPr>
        <w:shd w:val="clear" w:color="auto" w:fill="FCFCFC"/>
        <w:bidi w:val="0"/>
        <w:spacing w:after="0" w:line="240" w:lineRule="auto"/>
        <w:rPr>
          <w:rFonts w:asciiTheme="majorBidi" w:hAnsiTheme="majorBidi" w:cstheme="majorBidi"/>
          <w:sz w:val="18"/>
          <w:szCs w:val="18"/>
          <w:lang w:val="en-GB"/>
        </w:rPr>
      </w:pPr>
      <w:r w:rsidRPr="00D645B8">
        <w:rPr>
          <w:rFonts w:asciiTheme="majorBidi" w:hAnsiTheme="majorBidi" w:cstheme="majorBidi"/>
          <w:sz w:val="18"/>
          <w:szCs w:val="18"/>
          <w:lang w:val="en-GB"/>
        </w:rPr>
        <w:t>[65]</w:t>
      </w:r>
      <w:r w:rsidRPr="00D645B8">
        <w:rPr>
          <w:rFonts w:ascii="Segoe UI" w:hAnsi="Segoe UI" w:cs="Segoe UI"/>
          <w:color w:val="333333"/>
          <w:sz w:val="20"/>
          <w:szCs w:val="20"/>
          <w:shd w:val="clear" w:color="auto" w:fill="FCFCFC"/>
        </w:rPr>
        <w:t xml:space="preserve"> </w:t>
      </w:r>
      <w:proofErr w:type="spellStart"/>
      <w:r w:rsidRPr="00D645B8">
        <w:rPr>
          <w:rFonts w:asciiTheme="majorBidi" w:hAnsiTheme="majorBidi" w:cstheme="majorBidi"/>
          <w:sz w:val="18"/>
          <w:szCs w:val="18"/>
          <w:lang w:val="en-GB"/>
        </w:rPr>
        <w:t>Nour</w:t>
      </w:r>
      <w:proofErr w:type="spellEnd"/>
      <w:r w:rsidRPr="00D645B8">
        <w:rPr>
          <w:rFonts w:asciiTheme="majorBidi" w:hAnsiTheme="majorBidi" w:cstheme="majorBidi"/>
          <w:sz w:val="18"/>
          <w:szCs w:val="18"/>
          <w:lang w:val="en-GB"/>
        </w:rPr>
        <w:t xml:space="preserve"> A., Alia M.A., </w:t>
      </w:r>
      <w:proofErr w:type="spellStart"/>
      <w:r w:rsidRPr="00D645B8">
        <w:rPr>
          <w:rFonts w:asciiTheme="majorBidi" w:hAnsiTheme="majorBidi" w:cstheme="majorBidi"/>
          <w:sz w:val="18"/>
          <w:szCs w:val="18"/>
          <w:lang w:val="en-GB"/>
        </w:rPr>
        <w:t>Balout</w:t>
      </w:r>
      <w:proofErr w:type="spellEnd"/>
      <w:r w:rsidRPr="00D645B8">
        <w:rPr>
          <w:rFonts w:asciiTheme="majorBidi" w:hAnsiTheme="majorBidi" w:cstheme="majorBidi"/>
          <w:sz w:val="18"/>
          <w:szCs w:val="18"/>
          <w:lang w:val="en-GB"/>
        </w:rPr>
        <w:t xml:space="preserve"> M. (2022) The Impact of Corporate Social Responsibility Disclosure on the Financial Performance of Banks Listed on the PEX and the ASE. In: </w:t>
      </w:r>
      <w:proofErr w:type="spellStart"/>
      <w:r w:rsidRPr="00D645B8">
        <w:rPr>
          <w:rFonts w:asciiTheme="majorBidi" w:hAnsiTheme="majorBidi" w:cstheme="majorBidi"/>
          <w:sz w:val="18"/>
          <w:szCs w:val="18"/>
          <w:lang w:val="en-GB"/>
        </w:rPr>
        <w:t>Musleh</w:t>
      </w:r>
      <w:proofErr w:type="spellEnd"/>
      <w:r w:rsidRPr="00D645B8">
        <w:rPr>
          <w:rFonts w:asciiTheme="majorBidi" w:hAnsiTheme="majorBidi" w:cstheme="majorBidi"/>
          <w:sz w:val="18"/>
          <w:szCs w:val="18"/>
          <w:lang w:val="en-GB"/>
        </w:rPr>
        <w:t xml:space="preserve"> Al-</w:t>
      </w:r>
      <w:proofErr w:type="spellStart"/>
      <w:r w:rsidRPr="00D645B8">
        <w:rPr>
          <w:rFonts w:asciiTheme="majorBidi" w:hAnsiTheme="majorBidi" w:cstheme="majorBidi"/>
          <w:sz w:val="18"/>
          <w:szCs w:val="18"/>
          <w:lang w:val="en-GB"/>
        </w:rPr>
        <w:t>Sartawi</w:t>
      </w:r>
      <w:proofErr w:type="spellEnd"/>
      <w:r w:rsidRPr="00D645B8">
        <w:rPr>
          <w:rFonts w:asciiTheme="majorBidi" w:hAnsiTheme="majorBidi" w:cstheme="majorBidi"/>
          <w:sz w:val="18"/>
          <w:szCs w:val="18"/>
          <w:lang w:val="en-GB"/>
        </w:rPr>
        <w:t xml:space="preserve"> A.M.A. (</w:t>
      </w:r>
      <w:proofErr w:type="spellStart"/>
      <w:r w:rsidRPr="00D645B8">
        <w:rPr>
          <w:rFonts w:asciiTheme="majorBidi" w:hAnsiTheme="majorBidi" w:cstheme="majorBidi"/>
          <w:sz w:val="18"/>
          <w:szCs w:val="18"/>
          <w:lang w:val="en-GB"/>
        </w:rPr>
        <w:t>eds</w:t>
      </w:r>
      <w:proofErr w:type="spellEnd"/>
      <w:r w:rsidRPr="00D645B8">
        <w:rPr>
          <w:rFonts w:asciiTheme="majorBidi" w:hAnsiTheme="majorBidi" w:cstheme="majorBidi"/>
          <w:sz w:val="18"/>
          <w:szCs w:val="18"/>
          <w:lang w:val="en-GB"/>
        </w:rPr>
        <w:t xml:space="preserve">) Artificial Intelligence for Sustainable Finance and Sustainable Technology. ICGER 2021. Lecture Notes in Networks and Systems, </w:t>
      </w:r>
      <w:proofErr w:type="spellStart"/>
      <w:r w:rsidRPr="00D645B8">
        <w:rPr>
          <w:rFonts w:asciiTheme="majorBidi" w:hAnsiTheme="majorBidi" w:cstheme="majorBidi"/>
          <w:sz w:val="18"/>
          <w:szCs w:val="18"/>
          <w:lang w:val="en-GB"/>
        </w:rPr>
        <w:t>vol</w:t>
      </w:r>
      <w:proofErr w:type="spellEnd"/>
      <w:r w:rsidRPr="00D645B8">
        <w:rPr>
          <w:rFonts w:asciiTheme="majorBidi" w:hAnsiTheme="majorBidi" w:cstheme="majorBidi"/>
          <w:sz w:val="18"/>
          <w:szCs w:val="18"/>
          <w:lang w:val="en-GB"/>
        </w:rPr>
        <w:t xml:space="preserve"> 238. pp 42-5. Springer, Cham. </w:t>
      </w:r>
      <w:hyperlink r:id="rId26" w:history="1">
        <w:r w:rsidRPr="00BE3A60">
          <w:rPr>
            <w:rStyle w:val="Hyperlink"/>
            <w:rFonts w:asciiTheme="majorBidi" w:hAnsiTheme="majorBidi" w:cstheme="majorBidi"/>
            <w:sz w:val="18"/>
            <w:szCs w:val="18"/>
            <w:lang w:val="en-GB"/>
          </w:rPr>
          <w:t>https://doi.org/10.1007/978-3-030-93464-4_5</w:t>
        </w:r>
      </w:hyperlink>
    </w:p>
    <w:p w14:paraId="61102097" w14:textId="4240DFFE" w:rsidR="00D645B8" w:rsidRDefault="00D645B8" w:rsidP="00D645B8">
      <w:pPr>
        <w:shd w:val="clear" w:color="auto" w:fill="FCFCFC"/>
        <w:bidi w:val="0"/>
        <w:spacing w:after="0" w:line="240" w:lineRule="auto"/>
        <w:rPr>
          <w:rFonts w:asciiTheme="majorBidi" w:hAnsiTheme="majorBidi" w:cstheme="majorBidi"/>
          <w:sz w:val="18"/>
          <w:szCs w:val="18"/>
          <w:lang w:val="en-GB"/>
        </w:rPr>
      </w:pPr>
    </w:p>
    <w:p w14:paraId="0633D2A2" w14:textId="0D244EF8" w:rsidR="00D645B8" w:rsidRDefault="00D645B8" w:rsidP="00D645B8">
      <w:pPr>
        <w:pStyle w:val="citation"/>
        <w:shd w:val="clear" w:color="auto" w:fill="FFFFFF"/>
        <w:spacing w:before="0" w:beforeAutospacing="0" w:after="0" w:afterAutospacing="0" w:line="270" w:lineRule="atLeast"/>
        <w:textAlignment w:val="baseline"/>
        <w:rPr>
          <w:rFonts w:asciiTheme="minorHAnsi" w:eastAsiaTheme="minorHAnsi" w:hAnsiTheme="minorHAnsi" w:cstheme="minorBidi"/>
          <w:i/>
          <w:iCs/>
          <w:sz w:val="22"/>
          <w:szCs w:val="22"/>
          <w:lang w:bidi="ar-JO"/>
        </w:rPr>
      </w:pPr>
      <w:r w:rsidRPr="00D645B8">
        <w:rPr>
          <w:rFonts w:asciiTheme="majorBidi" w:hAnsiTheme="majorBidi" w:cstheme="majorBidi"/>
          <w:sz w:val="18"/>
          <w:szCs w:val="18"/>
          <w:lang w:val="en-GB"/>
        </w:rPr>
        <w:t>[6</w:t>
      </w:r>
      <w:r>
        <w:rPr>
          <w:rFonts w:asciiTheme="majorBidi" w:hAnsiTheme="majorBidi" w:cstheme="majorBidi"/>
          <w:sz w:val="18"/>
          <w:szCs w:val="18"/>
          <w:lang w:val="en-GB"/>
        </w:rPr>
        <w:t>6</w:t>
      </w:r>
      <w:r w:rsidRPr="00D645B8">
        <w:rPr>
          <w:rFonts w:asciiTheme="majorBidi" w:hAnsiTheme="majorBidi" w:cstheme="majorBidi"/>
          <w:sz w:val="18"/>
          <w:szCs w:val="18"/>
          <w:lang w:val="en-GB"/>
        </w:rPr>
        <w:t>]</w:t>
      </w:r>
      <w:r w:rsidRPr="00D645B8">
        <w:rPr>
          <w:rFonts w:eastAsiaTheme="minorHAnsi"/>
          <w:i/>
          <w:iCs/>
          <w:lang w:bidi="ar-JO"/>
        </w:rPr>
        <w:t xml:space="preserve"> </w:t>
      </w:r>
      <w:proofErr w:type="spellStart"/>
      <w:r w:rsidRPr="00D645B8">
        <w:rPr>
          <w:rFonts w:asciiTheme="majorBidi" w:eastAsiaTheme="minorEastAsia" w:hAnsiTheme="majorBidi" w:cstheme="majorBidi"/>
          <w:sz w:val="18"/>
          <w:szCs w:val="18"/>
          <w:lang w:val="en-GB"/>
        </w:rPr>
        <w:t>Nour</w:t>
      </w:r>
      <w:proofErr w:type="spellEnd"/>
      <w:r w:rsidRPr="00D645B8">
        <w:rPr>
          <w:rFonts w:asciiTheme="majorBidi" w:eastAsiaTheme="minorEastAsia" w:hAnsiTheme="majorBidi" w:cstheme="majorBidi"/>
          <w:sz w:val="18"/>
          <w:szCs w:val="18"/>
          <w:lang w:val="en-GB"/>
        </w:rPr>
        <w:t xml:space="preserve">, </w:t>
      </w:r>
      <w:proofErr w:type="spellStart"/>
      <w:r w:rsidRPr="00D645B8">
        <w:rPr>
          <w:rFonts w:asciiTheme="majorBidi" w:eastAsiaTheme="minorEastAsia" w:hAnsiTheme="majorBidi" w:cstheme="majorBidi"/>
          <w:sz w:val="18"/>
          <w:szCs w:val="18"/>
          <w:lang w:val="en-GB"/>
        </w:rPr>
        <w:t>Abdulnaser</w:t>
      </w:r>
      <w:proofErr w:type="spellEnd"/>
      <w:r w:rsidRPr="00D645B8">
        <w:rPr>
          <w:rFonts w:asciiTheme="majorBidi" w:eastAsiaTheme="minorEastAsia" w:hAnsiTheme="majorBidi" w:cstheme="majorBidi"/>
          <w:sz w:val="18"/>
          <w:szCs w:val="18"/>
          <w:lang w:val="en-GB"/>
        </w:rPr>
        <w:t xml:space="preserve">; </w:t>
      </w:r>
      <w:proofErr w:type="spellStart"/>
      <w:r w:rsidRPr="00D645B8">
        <w:rPr>
          <w:rFonts w:asciiTheme="majorBidi" w:eastAsiaTheme="minorEastAsia" w:hAnsiTheme="majorBidi" w:cstheme="majorBidi"/>
          <w:sz w:val="18"/>
          <w:szCs w:val="18"/>
          <w:lang w:val="en-GB"/>
        </w:rPr>
        <w:t>Bouqalieh</w:t>
      </w:r>
      <w:proofErr w:type="spellEnd"/>
      <w:r w:rsidRPr="00D645B8">
        <w:rPr>
          <w:rFonts w:asciiTheme="majorBidi" w:eastAsiaTheme="minorEastAsia" w:hAnsiTheme="majorBidi" w:cstheme="majorBidi"/>
          <w:sz w:val="18"/>
          <w:szCs w:val="18"/>
          <w:lang w:val="en-GB"/>
        </w:rPr>
        <w:t xml:space="preserve">, Bassam; and </w:t>
      </w:r>
      <w:proofErr w:type="spellStart"/>
      <w:r w:rsidRPr="00D645B8">
        <w:rPr>
          <w:rFonts w:asciiTheme="majorBidi" w:eastAsiaTheme="minorEastAsia" w:hAnsiTheme="majorBidi" w:cstheme="majorBidi"/>
          <w:sz w:val="18"/>
          <w:szCs w:val="18"/>
          <w:lang w:val="en-GB"/>
        </w:rPr>
        <w:t>Okour</w:t>
      </w:r>
      <w:proofErr w:type="spellEnd"/>
      <w:r w:rsidRPr="00D645B8">
        <w:rPr>
          <w:rFonts w:asciiTheme="majorBidi" w:eastAsiaTheme="minorEastAsia" w:hAnsiTheme="majorBidi" w:cstheme="majorBidi"/>
          <w:sz w:val="18"/>
          <w:szCs w:val="18"/>
          <w:lang w:val="en-GB"/>
        </w:rPr>
        <w:t xml:space="preserve">, </w:t>
      </w:r>
      <w:proofErr w:type="spellStart"/>
      <w:r w:rsidRPr="00D645B8">
        <w:rPr>
          <w:rFonts w:asciiTheme="majorBidi" w:eastAsiaTheme="minorEastAsia" w:hAnsiTheme="majorBidi" w:cstheme="majorBidi"/>
          <w:sz w:val="18"/>
          <w:szCs w:val="18"/>
          <w:lang w:val="en-GB"/>
        </w:rPr>
        <w:t>Samer</w:t>
      </w:r>
      <w:proofErr w:type="spellEnd"/>
      <w:r w:rsidRPr="00D645B8">
        <w:rPr>
          <w:rFonts w:asciiTheme="majorBidi" w:eastAsiaTheme="minorEastAsia" w:hAnsiTheme="majorBidi" w:cstheme="majorBidi"/>
          <w:sz w:val="18"/>
          <w:szCs w:val="18"/>
          <w:lang w:val="en-GB"/>
        </w:rPr>
        <w:t xml:space="preserve"> (2022) "The impact of institutional governance mechanisms on the dimensions of the efficiency of intellectual capital and the role of the size of the company in </w:t>
      </w:r>
      <w:r w:rsidRPr="00D645B8">
        <w:rPr>
          <w:rFonts w:asciiTheme="majorBidi" w:eastAsiaTheme="minorEastAsia" w:hAnsiTheme="majorBidi" w:cstheme="majorBidi"/>
          <w:sz w:val="18"/>
          <w:szCs w:val="18"/>
          <w:lang w:val="en-GB"/>
        </w:rPr>
        <w:lastRenderedPageBreak/>
        <w:t>the Jordanian Shareholding industrial companies," An-</w:t>
      </w:r>
      <w:proofErr w:type="spellStart"/>
      <w:r w:rsidRPr="00D645B8">
        <w:rPr>
          <w:rFonts w:asciiTheme="majorBidi" w:eastAsiaTheme="minorEastAsia" w:hAnsiTheme="majorBidi" w:cstheme="majorBidi"/>
          <w:sz w:val="18"/>
          <w:szCs w:val="18"/>
          <w:lang w:val="en-GB"/>
        </w:rPr>
        <w:t>Najah</w:t>
      </w:r>
      <w:proofErr w:type="spellEnd"/>
      <w:r w:rsidRPr="00D645B8">
        <w:rPr>
          <w:rFonts w:asciiTheme="majorBidi" w:eastAsiaTheme="minorEastAsia" w:hAnsiTheme="majorBidi" w:cstheme="majorBidi"/>
          <w:sz w:val="18"/>
          <w:szCs w:val="18"/>
          <w:lang w:val="en-GB"/>
        </w:rPr>
        <w:t xml:space="preserve"> University Journal for Research - B (Humanities): Vol. 36: </w:t>
      </w:r>
      <w:proofErr w:type="spellStart"/>
      <w:r w:rsidRPr="00D645B8">
        <w:rPr>
          <w:rFonts w:asciiTheme="majorBidi" w:eastAsiaTheme="minorEastAsia" w:hAnsiTheme="majorBidi" w:cstheme="majorBidi"/>
          <w:sz w:val="18"/>
          <w:szCs w:val="18"/>
          <w:lang w:val="en-GB"/>
        </w:rPr>
        <w:t>Iss</w:t>
      </w:r>
      <w:proofErr w:type="spellEnd"/>
      <w:r w:rsidRPr="00D645B8">
        <w:rPr>
          <w:rFonts w:asciiTheme="majorBidi" w:eastAsiaTheme="minorEastAsia" w:hAnsiTheme="majorBidi" w:cstheme="majorBidi"/>
          <w:sz w:val="18"/>
          <w:szCs w:val="18"/>
          <w:lang w:val="en-GB"/>
        </w:rPr>
        <w:t xml:space="preserve">. 10, Article 6.Available at: </w:t>
      </w:r>
      <w:hyperlink r:id="rId27" w:history="1">
        <w:r w:rsidRPr="00D645B8">
          <w:rPr>
            <w:rFonts w:asciiTheme="majorBidi" w:eastAsiaTheme="minorEastAsia" w:hAnsiTheme="majorBidi" w:cstheme="majorBidi"/>
            <w:sz w:val="18"/>
            <w:szCs w:val="18"/>
            <w:lang w:val="en-GB"/>
          </w:rPr>
          <w:t>https://digitalcommons.aaru.edu.jo/anujr_b/vol36/iss10/6</w:t>
        </w:r>
      </w:hyperlink>
    </w:p>
    <w:p w14:paraId="4DDDEE3C" w14:textId="39213835" w:rsidR="00D645B8" w:rsidRPr="00D645B8" w:rsidRDefault="00D645B8" w:rsidP="00D645B8">
      <w:pPr>
        <w:shd w:val="clear" w:color="auto" w:fill="FCFCFC"/>
        <w:bidi w:val="0"/>
        <w:spacing w:after="0" w:line="240" w:lineRule="auto"/>
        <w:rPr>
          <w:rFonts w:ascii="Segoe UI" w:hAnsi="Segoe UI" w:cs="Segoe UI"/>
          <w:color w:val="333333"/>
          <w:sz w:val="20"/>
          <w:szCs w:val="20"/>
          <w:shd w:val="clear" w:color="auto" w:fill="FCFCFC"/>
        </w:rPr>
      </w:pPr>
    </w:p>
    <w:p w14:paraId="687113C7" w14:textId="7382DAC9" w:rsidR="00414E90" w:rsidRDefault="002417ED" w:rsidP="002417ED">
      <w:pPr>
        <w:bidi w:val="0"/>
        <w:jc w:val="both"/>
        <w:rPr>
          <w:rFonts w:asciiTheme="majorBidi" w:hAnsiTheme="majorBidi" w:cstheme="majorBidi"/>
          <w:sz w:val="18"/>
          <w:szCs w:val="18"/>
        </w:rPr>
      </w:pPr>
      <w:r w:rsidRPr="00D645B8">
        <w:rPr>
          <w:rFonts w:asciiTheme="majorBidi" w:hAnsiTheme="majorBidi" w:cstheme="majorBidi"/>
          <w:sz w:val="18"/>
          <w:szCs w:val="18"/>
          <w:lang w:val="en-GB"/>
        </w:rPr>
        <w:t>[6</w:t>
      </w:r>
      <w:r>
        <w:rPr>
          <w:rFonts w:asciiTheme="majorBidi" w:hAnsiTheme="majorBidi" w:cstheme="majorBidi"/>
          <w:sz w:val="18"/>
          <w:szCs w:val="18"/>
          <w:lang w:val="en-GB"/>
        </w:rPr>
        <w:t>7</w:t>
      </w:r>
      <w:r w:rsidRPr="00D645B8">
        <w:rPr>
          <w:rFonts w:asciiTheme="majorBidi" w:hAnsiTheme="majorBidi" w:cstheme="majorBidi"/>
          <w:sz w:val="18"/>
          <w:szCs w:val="18"/>
          <w:lang w:val="en-GB"/>
        </w:rPr>
        <w:t>]</w:t>
      </w:r>
      <w:r w:rsidR="00863DA5" w:rsidRPr="00863DA5">
        <w:rPr>
          <w:rFonts w:ascii="Arial" w:hAnsi="Arial" w:cs="Arial"/>
          <w:color w:val="222222"/>
          <w:sz w:val="20"/>
          <w:szCs w:val="20"/>
          <w:shd w:val="clear" w:color="auto" w:fill="FFFFFF"/>
        </w:rPr>
        <w:t xml:space="preserve"> </w:t>
      </w:r>
      <w:proofErr w:type="spellStart"/>
      <w:r w:rsidR="00863DA5" w:rsidRPr="00863DA5">
        <w:rPr>
          <w:rFonts w:asciiTheme="majorBidi" w:hAnsiTheme="majorBidi" w:cstheme="majorBidi"/>
          <w:sz w:val="18"/>
          <w:szCs w:val="18"/>
          <w:lang w:val="en-GB"/>
        </w:rPr>
        <w:t>Anas</w:t>
      </w:r>
      <w:proofErr w:type="spellEnd"/>
      <w:r w:rsidR="00863DA5" w:rsidRPr="00863DA5">
        <w:rPr>
          <w:rFonts w:asciiTheme="majorBidi" w:hAnsiTheme="majorBidi" w:cstheme="majorBidi"/>
          <w:sz w:val="18"/>
          <w:szCs w:val="18"/>
          <w:lang w:val="en-GB"/>
        </w:rPr>
        <w:t xml:space="preserve"> Al-Bakri, Mohammed </w:t>
      </w:r>
      <w:proofErr w:type="spellStart"/>
      <w:r w:rsidR="00863DA5" w:rsidRPr="00863DA5">
        <w:rPr>
          <w:rFonts w:asciiTheme="majorBidi" w:hAnsiTheme="majorBidi" w:cstheme="majorBidi"/>
          <w:sz w:val="18"/>
          <w:szCs w:val="18"/>
          <w:lang w:val="en-GB"/>
        </w:rPr>
        <w:t>Matar</w:t>
      </w:r>
      <w:proofErr w:type="spellEnd"/>
      <w:r w:rsidR="00863DA5" w:rsidRPr="00863DA5">
        <w:rPr>
          <w:rFonts w:asciiTheme="majorBidi" w:hAnsiTheme="majorBidi" w:cstheme="majorBidi"/>
          <w:sz w:val="18"/>
          <w:szCs w:val="18"/>
          <w:lang w:val="en-GB"/>
        </w:rPr>
        <w:t xml:space="preserve">, Abdul </w:t>
      </w:r>
      <w:proofErr w:type="spellStart"/>
      <w:r w:rsidR="00863DA5" w:rsidRPr="00863DA5">
        <w:rPr>
          <w:rFonts w:asciiTheme="majorBidi" w:hAnsiTheme="majorBidi" w:cstheme="majorBidi"/>
          <w:sz w:val="18"/>
          <w:szCs w:val="18"/>
          <w:lang w:val="en-GB"/>
        </w:rPr>
        <w:t>Naser</w:t>
      </w:r>
      <w:proofErr w:type="spellEnd"/>
      <w:r w:rsidR="00863DA5" w:rsidRPr="00863DA5">
        <w:rPr>
          <w:rFonts w:asciiTheme="majorBidi" w:hAnsiTheme="majorBidi" w:cstheme="majorBidi"/>
          <w:sz w:val="18"/>
          <w:szCs w:val="18"/>
          <w:lang w:val="en-GB"/>
        </w:rPr>
        <w:t xml:space="preserve"> I </w:t>
      </w:r>
      <w:proofErr w:type="spellStart"/>
      <w:proofErr w:type="gramStart"/>
      <w:r w:rsidR="00863DA5" w:rsidRPr="00863DA5">
        <w:rPr>
          <w:rFonts w:asciiTheme="majorBidi" w:hAnsiTheme="majorBidi" w:cstheme="majorBidi"/>
          <w:sz w:val="18"/>
          <w:szCs w:val="18"/>
          <w:lang w:val="en-GB"/>
        </w:rPr>
        <w:t>Nour</w:t>
      </w:r>
      <w:proofErr w:type="spellEnd"/>
      <w:r w:rsidR="00863DA5" w:rsidRPr="00863DA5">
        <w:rPr>
          <w:rFonts w:asciiTheme="majorBidi" w:hAnsiTheme="majorBidi" w:cstheme="majorBidi"/>
          <w:sz w:val="18"/>
          <w:szCs w:val="18"/>
          <w:lang w:val="en-GB"/>
        </w:rPr>
        <w:t>,  The</w:t>
      </w:r>
      <w:proofErr w:type="gramEnd"/>
      <w:r w:rsidR="00863DA5" w:rsidRPr="00863DA5">
        <w:rPr>
          <w:rFonts w:asciiTheme="majorBidi" w:hAnsiTheme="majorBidi" w:cstheme="majorBidi"/>
          <w:sz w:val="18"/>
          <w:szCs w:val="18"/>
          <w:lang w:val="en-GB"/>
        </w:rPr>
        <w:t xml:space="preserve"> required information and financial statements disclosure in SMEs, Journal of Finance and Accountancy, Volume 16 – September, 2014,PP 1-15,Academic and Business Research Institute (AABRI).</w:t>
      </w:r>
    </w:p>
    <w:p w14:paraId="541729D0" w14:textId="77777777" w:rsidR="00414E90" w:rsidRPr="001D7BD5" w:rsidRDefault="00414E90" w:rsidP="00414E90">
      <w:pPr>
        <w:bidi w:val="0"/>
        <w:jc w:val="both"/>
        <w:rPr>
          <w:rFonts w:asciiTheme="majorBidi" w:hAnsiTheme="majorBidi" w:cstheme="majorBidi"/>
          <w:sz w:val="18"/>
          <w:szCs w:val="18"/>
        </w:rPr>
      </w:pPr>
    </w:p>
    <w:p w14:paraId="3270A735" w14:textId="77777777" w:rsidR="00775AA2" w:rsidRPr="00775AA2" w:rsidRDefault="00775AA2" w:rsidP="00775AA2">
      <w:pPr>
        <w:bidi w:val="0"/>
        <w:spacing w:after="0" w:line="240" w:lineRule="auto"/>
        <w:ind w:left="709" w:hanging="709"/>
        <w:rPr>
          <w:rFonts w:ascii="Times New Roman" w:eastAsia="Calibri" w:hAnsi="Times New Roman" w:cs="Times New Roman"/>
          <w:sz w:val="18"/>
          <w:szCs w:val="18"/>
        </w:rPr>
      </w:pPr>
    </w:p>
    <w:sectPr w:rsidR="00775AA2" w:rsidRPr="00775AA2" w:rsidSect="00FF2C5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4A40"/>
    <w:multiLevelType w:val="multilevel"/>
    <w:tmpl w:val="90324C1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85B5F"/>
    <w:multiLevelType w:val="hybridMultilevel"/>
    <w:tmpl w:val="8F726F0C"/>
    <w:lvl w:ilvl="0" w:tplc="6C989E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6283E"/>
    <w:multiLevelType w:val="multilevel"/>
    <w:tmpl w:val="F6443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C152D8C"/>
    <w:multiLevelType w:val="multilevel"/>
    <w:tmpl w:val="EDB4BBA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NDEzMTYwMjQ1MjZS0lEKTi0uzszPAykwqgUAwuJdZCwAAAA="/>
  </w:docVars>
  <w:rsids>
    <w:rsidRoot w:val="00F77D8D"/>
    <w:rsid w:val="00016EC9"/>
    <w:rsid w:val="00094347"/>
    <w:rsid w:val="000B1FFF"/>
    <w:rsid w:val="000B5256"/>
    <w:rsid w:val="000C3AD0"/>
    <w:rsid w:val="000E131C"/>
    <w:rsid w:val="000E1C4C"/>
    <w:rsid w:val="000E7D6A"/>
    <w:rsid w:val="000F0E32"/>
    <w:rsid w:val="001A08C7"/>
    <w:rsid w:val="00211160"/>
    <w:rsid w:val="00226A0F"/>
    <w:rsid w:val="00226F76"/>
    <w:rsid w:val="002417ED"/>
    <w:rsid w:val="00271DBC"/>
    <w:rsid w:val="00275464"/>
    <w:rsid w:val="00292EBF"/>
    <w:rsid w:val="003135C3"/>
    <w:rsid w:val="003304E2"/>
    <w:rsid w:val="00350F0B"/>
    <w:rsid w:val="003A4A51"/>
    <w:rsid w:val="003D63D2"/>
    <w:rsid w:val="00414E90"/>
    <w:rsid w:val="0047301D"/>
    <w:rsid w:val="00495A46"/>
    <w:rsid w:val="00522E60"/>
    <w:rsid w:val="0054198A"/>
    <w:rsid w:val="0056339F"/>
    <w:rsid w:val="005A784E"/>
    <w:rsid w:val="005B017E"/>
    <w:rsid w:val="005C2DD5"/>
    <w:rsid w:val="00610134"/>
    <w:rsid w:val="00642E3B"/>
    <w:rsid w:val="00670D2D"/>
    <w:rsid w:val="00681440"/>
    <w:rsid w:val="00691647"/>
    <w:rsid w:val="006C66EF"/>
    <w:rsid w:val="006D66FE"/>
    <w:rsid w:val="006E4F16"/>
    <w:rsid w:val="00757F1B"/>
    <w:rsid w:val="00775AA2"/>
    <w:rsid w:val="00785AB7"/>
    <w:rsid w:val="007B240A"/>
    <w:rsid w:val="007C05E7"/>
    <w:rsid w:val="007C329A"/>
    <w:rsid w:val="007C3E2A"/>
    <w:rsid w:val="00863DA5"/>
    <w:rsid w:val="008734AD"/>
    <w:rsid w:val="008C60FF"/>
    <w:rsid w:val="008D2D78"/>
    <w:rsid w:val="008E6E83"/>
    <w:rsid w:val="0091337D"/>
    <w:rsid w:val="009178BE"/>
    <w:rsid w:val="00923EC7"/>
    <w:rsid w:val="0093182F"/>
    <w:rsid w:val="00984291"/>
    <w:rsid w:val="009A4AB9"/>
    <w:rsid w:val="009D18B8"/>
    <w:rsid w:val="009F74E2"/>
    <w:rsid w:val="00A02823"/>
    <w:rsid w:val="00A3260D"/>
    <w:rsid w:val="00A33A1B"/>
    <w:rsid w:val="00A36258"/>
    <w:rsid w:val="00A40A68"/>
    <w:rsid w:val="00AD517B"/>
    <w:rsid w:val="00B325BE"/>
    <w:rsid w:val="00B45FA3"/>
    <w:rsid w:val="00B50B5D"/>
    <w:rsid w:val="00B5228D"/>
    <w:rsid w:val="00B77271"/>
    <w:rsid w:val="00B80002"/>
    <w:rsid w:val="00B8441B"/>
    <w:rsid w:val="00BA77FE"/>
    <w:rsid w:val="00BD5A89"/>
    <w:rsid w:val="00BE27EB"/>
    <w:rsid w:val="00BF5E04"/>
    <w:rsid w:val="00C23061"/>
    <w:rsid w:val="00C401CA"/>
    <w:rsid w:val="00C6117E"/>
    <w:rsid w:val="00C76683"/>
    <w:rsid w:val="00CA332F"/>
    <w:rsid w:val="00CC7E71"/>
    <w:rsid w:val="00CF3789"/>
    <w:rsid w:val="00D03689"/>
    <w:rsid w:val="00D276F7"/>
    <w:rsid w:val="00D645B8"/>
    <w:rsid w:val="00D95DE0"/>
    <w:rsid w:val="00DA3C1C"/>
    <w:rsid w:val="00DA3F21"/>
    <w:rsid w:val="00DC3E81"/>
    <w:rsid w:val="00DC79EB"/>
    <w:rsid w:val="00E537E5"/>
    <w:rsid w:val="00E806A4"/>
    <w:rsid w:val="00EA3898"/>
    <w:rsid w:val="00EB1EDE"/>
    <w:rsid w:val="00EF3A82"/>
    <w:rsid w:val="00F24829"/>
    <w:rsid w:val="00F746C3"/>
    <w:rsid w:val="00F77D8D"/>
    <w:rsid w:val="00FE17E9"/>
    <w:rsid w:val="00FE54A7"/>
    <w:rsid w:val="00FF2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7E8C"/>
  <w15:docId w15:val="{EDA4E534-3C5A-4CB6-976C-BFC2871B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8D"/>
    <w:pPr>
      <w:bidi/>
    </w:pPr>
    <w:rPr>
      <w:rFonts w:eastAsiaTheme="minorEastAsia"/>
    </w:rPr>
  </w:style>
  <w:style w:type="paragraph" w:styleId="Heading1">
    <w:name w:val="heading 1"/>
    <w:basedOn w:val="Normal"/>
    <w:next w:val="Normal"/>
    <w:link w:val="Heading1Char"/>
    <w:uiPriority w:val="9"/>
    <w:qFormat/>
    <w:rsid w:val="000E1C4C"/>
    <w:pPr>
      <w:keepNext/>
      <w:numPr>
        <w:numId w:val="2"/>
      </w:numPr>
      <w:spacing w:before="240" w:after="60" w:line="264" w:lineRule="auto"/>
      <w:ind w:left="0" w:firstLine="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0E1C4C"/>
    <w:pPr>
      <w:keepNext/>
      <w:numPr>
        <w:ilvl w:val="1"/>
        <w:numId w:val="2"/>
      </w:numPr>
      <w:bidi w:val="0"/>
      <w:spacing w:after="0" w:line="240" w:lineRule="auto"/>
      <w:ind w:left="567" w:hanging="567"/>
      <w:jc w:val="both"/>
      <w:outlineLvl w:val="1"/>
    </w:pPr>
    <w:rPr>
      <w:rFonts w:ascii="Times New Roman" w:eastAsia="Calibri"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002"/>
    <w:rPr>
      <w:color w:val="0000FF" w:themeColor="hyperlink"/>
      <w:u w:val="single"/>
    </w:rPr>
  </w:style>
  <w:style w:type="paragraph" w:styleId="BalloonText">
    <w:name w:val="Balloon Text"/>
    <w:basedOn w:val="Normal"/>
    <w:link w:val="BalloonTextChar"/>
    <w:uiPriority w:val="99"/>
    <w:semiHidden/>
    <w:unhideWhenUsed/>
    <w:rsid w:val="000E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4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0E1C4C"/>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0E1C4C"/>
    <w:rPr>
      <w:rFonts w:ascii="Times New Roman" w:eastAsia="Calibri" w:hAnsi="Times New Roman" w:cs="Times New Roman"/>
      <w:b/>
      <w:bCs/>
      <w:color w:val="000000"/>
      <w:sz w:val="24"/>
      <w:szCs w:val="24"/>
    </w:rPr>
  </w:style>
  <w:style w:type="character" w:customStyle="1" w:styleId="UnresolvedMention1">
    <w:name w:val="Unresolved Mention1"/>
    <w:basedOn w:val="DefaultParagraphFont"/>
    <w:uiPriority w:val="99"/>
    <w:semiHidden/>
    <w:unhideWhenUsed/>
    <w:rsid w:val="0091337D"/>
    <w:rPr>
      <w:color w:val="605E5C"/>
      <w:shd w:val="clear" w:color="auto" w:fill="E1DFDD"/>
    </w:rPr>
  </w:style>
  <w:style w:type="table" w:styleId="TableGrid">
    <w:name w:val="Table Grid"/>
    <w:basedOn w:val="TableNormal"/>
    <w:uiPriority w:val="39"/>
    <w:rsid w:val="0009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134"/>
    <w:pPr>
      <w:ind w:left="720"/>
      <w:contextualSpacing/>
    </w:pPr>
  </w:style>
  <w:style w:type="paragraph" w:styleId="NormalWeb">
    <w:name w:val="Normal (Web)"/>
    <w:basedOn w:val="Normal"/>
    <w:uiPriority w:val="99"/>
    <w:unhideWhenUsed/>
    <w:rsid w:val="009842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84291"/>
    <w:rPr>
      <w:b/>
      <w:bCs/>
    </w:rPr>
  </w:style>
  <w:style w:type="paragraph" w:customStyle="1" w:styleId="citation">
    <w:name w:val="citation"/>
    <w:basedOn w:val="Normal"/>
    <w:rsid w:val="00D645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499">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
    <w:div w:id="156266946">
      <w:bodyDiv w:val="1"/>
      <w:marLeft w:val="0"/>
      <w:marRight w:val="0"/>
      <w:marTop w:val="0"/>
      <w:marBottom w:val="0"/>
      <w:divBdr>
        <w:top w:val="none" w:sz="0" w:space="0" w:color="auto"/>
        <w:left w:val="none" w:sz="0" w:space="0" w:color="auto"/>
        <w:bottom w:val="none" w:sz="0" w:space="0" w:color="auto"/>
        <w:right w:val="none" w:sz="0" w:space="0" w:color="auto"/>
      </w:divBdr>
    </w:div>
    <w:div w:id="408815508">
      <w:bodyDiv w:val="1"/>
      <w:marLeft w:val="0"/>
      <w:marRight w:val="0"/>
      <w:marTop w:val="0"/>
      <w:marBottom w:val="0"/>
      <w:divBdr>
        <w:top w:val="none" w:sz="0" w:space="0" w:color="auto"/>
        <w:left w:val="none" w:sz="0" w:space="0" w:color="auto"/>
        <w:bottom w:val="none" w:sz="0" w:space="0" w:color="auto"/>
        <w:right w:val="none" w:sz="0" w:space="0" w:color="auto"/>
      </w:divBdr>
    </w:div>
    <w:div w:id="557980472">
      <w:bodyDiv w:val="1"/>
      <w:marLeft w:val="0"/>
      <w:marRight w:val="0"/>
      <w:marTop w:val="0"/>
      <w:marBottom w:val="0"/>
      <w:divBdr>
        <w:top w:val="none" w:sz="0" w:space="0" w:color="auto"/>
        <w:left w:val="none" w:sz="0" w:space="0" w:color="auto"/>
        <w:bottom w:val="none" w:sz="0" w:space="0" w:color="auto"/>
        <w:right w:val="none" w:sz="0" w:space="0" w:color="auto"/>
      </w:divBdr>
    </w:div>
    <w:div w:id="632180522">
      <w:bodyDiv w:val="1"/>
      <w:marLeft w:val="0"/>
      <w:marRight w:val="0"/>
      <w:marTop w:val="0"/>
      <w:marBottom w:val="0"/>
      <w:divBdr>
        <w:top w:val="none" w:sz="0" w:space="0" w:color="auto"/>
        <w:left w:val="none" w:sz="0" w:space="0" w:color="auto"/>
        <w:bottom w:val="none" w:sz="0" w:space="0" w:color="auto"/>
        <w:right w:val="none" w:sz="0" w:space="0" w:color="auto"/>
      </w:divBdr>
    </w:div>
    <w:div w:id="661392681">
      <w:bodyDiv w:val="1"/>
      <w:marLeft w:val="0"/>
      <w:marRight w:val="0"/>
      <w:marTop w:val="0"/>
      <w:marBottom w:val="0"/>
      <w:divBdr>
        <w:top w:val="none" w:sz="0" w:space="0" w:color="auto"/>
        <w:left w:val="none" w:sz="0" w:space="0" w:color="auto"/>
        <w:bottom w:val="none" w:sz="0" w:space="0" w:color="auto"/>
        <w:right w:val="none" w:sz="0" w:space="0" w:color="auto"/>
      </w:divBdr>
    </w:div>
    <w:div w:id="738097014">
      <w:bodyDiv w:val="1"/>
      <w:marLeft w:val="0"/>
      <w:marRight w:val="0"/>
      <w:marTop w:val="0"/>
      <w:marBottom w:val="0"/>
      <w:divBdr>
        <w:top w:val="none" w:sz="0" w:space="0" w:color="auto"/>
        <w:left w:val="none" w:sz="0" w:space="0" w:color="auto"/>
        <w:bottom w:val="none" w:sz="0" w:space="0" w:color="auto"/>
        <w:right w:val="none" w:sz="0" w:space="0" w:color="auto"/>
      </w:divBdr>
    </w:div>
    <w:div w:id="747311789">
      <w:bodyDiv w:val="1"/>
      <w:marLeft w:val="0"/>
      <w:marRight w:val="0"/>
      <w:marTop w:val="0"/>
      <w:marBottom w:val="0"/>
      <w:divBdr>
        <w:top w:val="none" w:sz="0" w:space="0" w:color="auto"/>
        <w:left w:val="none" w:sz="0" w:space="0" w:color="auto"/>
        <w:bottom w:val="none" w:sz="0" w:space="0" w:color="auto"/>
        <w:right w:val="none" w:sz="0" w:space="0" w:color="auto"/>
      </w:divBdr>
    </w:div>
    <w:div w:id="907493973">
      <w:bodyDiv w:val="1"/>
      <w:marLeft w:val="0"/>
      <w:marRight w:val="0"/>
      <w:marTop w:val="0"/>
      <w:marBottom w:val="0"/>
      <w:divBdr>
        <w:top w:val="none" w:sz="0" w:space="0" w:color="auto"/>
        <w:left w:val="none" w:sz="0" w:space="0" w:color="auto"/>
        <w:bottom w:val="none" w:sz="0" w:space="0" w:color="auto"/>
        <w:right w:val="none" w:sz="0" w:space="0" w:color="auto"/>
      </w:divBdr>
    </w:div>
    <w:div w:id="1487162388">
      <w:bodyDiv w:val="1"/>
      <w:marLeft w:val="0"/>
      <w:marRight w:val="0"/>
      <w:marTop w:val="0"/>
      <w:marBottom w:val="0"/>
      <w:divBdr>
        <w:top w:val="none" w:sz="0" w:space="0" w:color="auto"/>
        <w:left w:val="none" w:sz="0" w:space="0" w:color="auto"/>
        <w:bottom w:val="none" w:sz="0" w:space="0" w:color="auto"/>
        <w:right w:val="none" w:sz="0" w:space="0" w:color="auto"/>
      </w:divBdr>
    </w:div>
    <w:div w:id="1497574356">
      <w:bodyDiv w:val="1"/>
      <w:marLeft w:val="0"/>
      <w:marRight w:val="0"/>
      <w:marTop w:val="0"/>
      <w:marBottom w:val="0"/>
      <w:divBdr>
        <w:top w:val="none" w:sz="0" w:space="0" w:color="auto"/>
        <w:left w:val="none" w:sz="0" w:space="0" w:color="auto"/>
        <w:bottom w:val="none" w:sz="0" w:space="0" w:color="auto"/>
        <w:right w:val="none" w:sz="0" w:space="0" w:color="auto"/>
      </w:divBdr>
    </w:div>
    <w:div w:id="1666201883">
      <w:bodyDiv w:val="1"/>
      <w:marLeft w:val="0"/>
      <w:marRight w:val="0"/>
      <w:marTop w:val="0"/>
      <w:marBottom w:val="0"/>
      <w:divBdr>
        <w:top w:val="none" w:sz="0" w:space="0" w:color="auto"/>
        <w:left w:val="none" w:sz="0" w:space="0" w:color="auto"/>
        <w:bottom w:val="none" w:sz="0" w:space="0" w:color="auto"/>
        <w:right w:val="none" w:sz="0" w:space="0" w:color="auto"/>
      </w:divBdr>
    </w:div>
    <w:div w:id="16921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1061-9518(01)00041-6" TargetMode="External"/><Relationship Id="rId13" Type="http://schemas.openxmlformats.org/officeDocument/2006/relationships/hyperlink" Target="http://dx.doi.org/10.1016/S1045-2354(03)00059-5" TargetMode="External"/><Relationship Id="rId18" Type="http://schemas.openxmlformats.org/officeDocument/2006/relationships/hyperlink" Target="http://dx.doi.org/10.1080/09638180701265820" TargetMode="External"/><Relationship Id="rId26" Type="http://schemas.openxmlformats.org/officeDocument/2006/relationships/hyperlink" Target="https://doi.org/10.1007/978-3-030-93464-4_5" TargetMode="External"/><Relationship Id="rId3" Type="http://schemas.openxmlformats.org/officeDocument/2006/relationships/settings" Target="settings.xml"/><Relationship Id="rId21" Type="http://schemas.openxmlformats.org/officeDocument/2006/relationships/hyperlink" Target="http://dx.doi.org/10.1016/S0278-4254(00)00015-6" TargetMode="External"/><Relationship Id="rId7" Type="http://schemas.openxmlformats.org/officeDocument/2006/relationships/hyperlink" Target="mailto:2aladdin.dwekat@najah.edu" TargetMode="External"/><Relationship Id="rId12" Type="http://schemas.openxmlformats.org/officeDocument/2006/relationships/hyperlink" Target="http://dx.doi.org/10.1016/S0165-4101(01)00018-0" TargetMode="External"/><Relationship Id="rId17" Type="http://schemas.openxmlformats.org/officeDocument/2006/relationships/hyperlink" Target="https://doi.org/10.1108/MEDAR-05-2022-1698" TargetMode="External"/><Relationship Id="rId25" Type="http://schemas.openxmlformats.org/officeDocument/2006/relationships/hyperlink" Target="http://dx.doi.org/10.21511/imfi.16(4).2019.14" TargetMode="External"/><Relationship Id="rId2" Type="http://schemas.openxmlformats.org/officeDocument/2006/relationships/styles" Target="styles.xml"/><Relationship Id="rId16" Type="http://schemas.openxmlformats.org/officeDocument/2006/relationships/hyperlink" Target="https://www.emerald.com/insight/publication/issn/2049-372X" TargetMode="External"/><Relationship Id="rId20" Type="http://schemas.openxmlformats.org/officeDocument/2006/relationships/hyperlink" Target="http://dx.doi.org/10.1086/46703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ed.abdelhaq@hotmail.com" TargetMode="External"/><Relationship Id="rId11" Type="http://schemas.openxmlformats.org/officeDocument/2006/relationships/hyperlink" Target="http://dx.doi.org/10.1111/j.1467-8683.2006.00491" TargetMode="External"/><Relationship Id="rId24" Type="http://schemas.openxmlformats.org/officeDocument/2006/relationships/hyperlink" Target="http://dx.doi.org/10.1016/S0278-4254(03)00037-1" TargetMode="External"/><Relationship Id="rId5" Type="http://schemas.openxmlformats.org/officeDocument/2006/relationships/hyperlink" Target="https://orcid.org/0000-0001-8525-9799" TargetMode="External"/><Relationship Id="rId15" Type="http://schemas.openxmlformats.org/officeDocument/2006/relationships/hyperlink" Target="https://www.emerald.com/insight/search?q=Guillermina%20Tormo-Carb%C3%B3" TargetMode="External"/><Relationship Id="rId23" Type="http://schemas.openxmlformats.org/officeDocument/2006/relationships/hyperlink" Target="https://doi.org/10.1108/IJLMA-10-2015-0052" TargetMode="External"/><Relationship Id="rId28" Type="http://schemas.openxmlformats.org/officeDocument/2006/relationships/fontTable" Target="fontTable.xml"/><Relationship Id="rId10" Type="http://schemas.openxmlformats.org/officeDocument/2006/relationships/hyperlink" Target="http://dx.doi.org/10.1108/09513570710741028" TargetMode="External"/><Relationship Id="rId19" Type="http://schemas.openxmlformats.org/officeDocument/2006/relationships/hyperlink" Target="http://dx.doi.org/10.2307/2490187" TargetMode="External"/><Relationship Id="rId4" Type="http://schemas.openxmlformats.org/officeDocument/2006/relationships/webSettings" Target="webSettings.xml"/><Relationship Id="rId9" Type="http://schemas.openxmlformats.org/officeDocument/2006/relationships/hyperlink" Target="http://dx.doi.org/10.1016/j.intacc.2006.07.001" TargetMode="External"/><Relationship Id="rId14" Type="http://schemas.openxmlformats.org/officeDocument/2006/relationships/hyperlink" Target="https://www.emerald.com/insight/search?q=Elies%20Segu%C3%AD-Mas" TargetMode="External"/><Relationship Id="rId22" Type="http://schemas.openxmlformats.org/officeDocument/2006/relationships/hyperlink" Target="http://dx.doi.org/10.2307/2491219" TargetMode="External"/><Relationship Id="rId27" Type="http://schemas.openxmlformats.org/officeDocument/2006/relationships/hyperlink" Target="https://digitalcommons.aaru.edu.jo/anujr_b/vol36/iss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2023-03-19T09:16:00Z</dcterms:created>
  <dcterms:modified xsi:type="dcterms:W3CDTF">2023-03-19T09:16:00Z</dcterms:modified>
</cp:coreProperties>
</file>